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c61a" w14:textId="8fac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юстиции Республики Казахстан от 5 мая 2015 года № 256 "Об утверждении Правил осуществления выбора единой электронной торговой площадки по реализации арестованного имущества и внесения изменений и дополнений в приказ Министра юстиции Республики Казахстан от 20 февраля 2015 года № 100 "Об утверждении Правил реализации арестованного имущества, в том числе на торгах в форме электронного аукциона"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10 февраля 2017 года № 133. Зарегистрирован в Министерстве юстиции Республики Казахстан 27 февраля 2017 года № 14851. Утратил силу приказом Министра юстиции Республики Казахстан от 27 августа 2020 года № 302.</w:t>
      </w:r>
    </w:p>
    <w:p>
      <w:pPr>
        <w:spacing w:after="0"/>
        <w:ind w:left="0"/>
        <w:jc w:val="both"/>
      </w:pPr>
      <w:r>
        <w:rPr>
          <w:rFonts w:ascii="Times New Roman"/>
          <w:b w:val="false"/>
          <w:i w:val="false"/>
          <w:color w:val="ff0000"/>
          <w:sz w:val="28"/>
        </w:rPr>
        <w:t xml:space="preserve">
      Сноска. Утратил силу приказом Министра юстиции РК от 27.08.2020 </w:t>
      </w:r>
      <w:r>
        <w:rPr>
          <w:rFonts w:ascii="Times New Roman"/>
          <w:b w:val="false"/>
          <w:i w:val="false"/>
          <w:color w:val="ff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74 Закона Республики Казахстан от 2 апреля 2010 года "Об исполнительном производстве и статусе судебных исполнителей"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5 мая 2015 года № 256 "Об утверждении Правил осуществления выбора единой электронной торговой площадки по реализации арестованного имущества и внесения изменений и дополнений в приказ Министра юстиции Республики Казахстан от 20 февраля 2015 года № 100 "Об утверждении Правил реализации арестованного имущества, в том числе на торгах в форме электронного аукциона" (зарегистрированный в Реестре государственной регистрации нормативных правовых актов № 11023, опубликованный в информационно-правовой системе "Әділет" от 14 мая 2015 года)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выбора единой электронной торговой площадки по реализации арестованного имущества,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"4. При утверждении требований к ЕЭТП комиссия основывается на следующих основных критериях:</w:t>
      </w:r>
    </w:p>
    <w:bookmarkEnd w:id="3"/>
    <w:bookmarkStart w:name="z8" w:id="4"/>
    <w:p>
      <w:pPr>
        <w:spacing w:after="0"/>
        <w:ind w:left="0"/>
        <w:jc w:val="both"/>
      </w:pPr>
      <w:r>
        <w:rPr>
          <w:rFonts w:ascii="Times New Roman"/>
          <w:b w:val="false"/>
          <w:i w:val="false"/>
          <w:color w:val="000000"/>
          <w:sz w:val="28"/>
        </w:rPr>
        <w:t>
      1) профессиональной компетентности поставщиков услуг по реализации имущества, обладанием ими финансовыми ресурсами, техническим оборудованием и другими материальными возможностями, надежностью, опытом и положительной репутацией, а также другими ресурсами, необходимыми для исполнения договора о предоставлении ЕЭТП;</w:t>
      </w:r>
    </w:p>
    <w:bookmarkEnd w:id="4"/>
    <w:p>
      <w:pPr>
        <w:spacing w:after="0"/>
        <w:ind w:left="0"/>
        <w:jc w:val="both"/>
      </w:pPr>
      <w:r>
        <w:rPr>
          <w:rFonts w:ascii="Times New Roman"/>
          <w:b w:val="false"/>
          <w:i w:val="false"/>
          <w:color w:val="000000"/>
          <w:sz w:val="28"/>
        </w:rPr>
        <w:t>
      2) осуществление выделения не менее 50% от вознаграждения за проведение электронного аукциона по реализации имущества ежемесячно в Республиканскую палату частных судебных исполнителей на развитие и сопровождение автоматизированной информационной системы органов исполнительного производства, находящейся в доверительном управлении в Республиканской палате частных судебных исполнителей;</w:t>
      </w:r>
    </w:p>
    <w:bookmarkStart w:name="z9" w:id="5"/>
    <w:p>
      <w:pPr>
        <w:spacing w:after="0"/>
        <w:ind w:left="0"/>
        <w:jc w:val="both"/>
      </w:pPr>
      <w:r>
        <w:rPr>
          <w:rFonts w:ascii="Times New Roman"/>
          <w:b w:val="false"/>
          <w:i w:val="false"/>
          <w:color w:val="000000"/>
          <w:sz w:val="28"/>
        </w:rPr>
        <w:t>
       3) обеспечение безопасности, конфиденциальности и достоверности сведений, поступающих на ЕЭТП в процессе исполнения исполнительных документов, в том числе защита информации и сервисов ЕЭТП от несанкционированного доступа, обеспечение прозрачности и открытости проводимых на ЕЭТП электронных аукционов;</w:t>
      </w:r>
    </w:p>
    <w:bookmarkEnd w:id="5"/>
    <w:bookmarkStart w:name="z10" w:id="6"/>
    <w:p>
      <w:pPr>
        <w:spacing w:after="0"/>
        <w:ind w:left="0"/>
        <w:jc w:val="both"/>
      </w:pPr>
      <w:r>
        <w:rPr>
          <w:rFonts w:ascii="Times New Roman"/>
          <w:b w:val="false"/>
          <w:i w:val="false"/>
          <w:color w:val="000000"/>
          <w:sz w:val="28"/>
        </w:rPr>
        <w:t>
       4) полная доступность (проведение регламентных работ строго ограничено графиком, предусматривающим проведение технических работ в ночное время);</w:t>
      </w:r>
    </w:p>
    <w:bookmarkEnd w:id="6"/>
    <w:bookmarkStart w:name="z38" w:id="7"/>
    <w:p>
      <w:pPr>
        <w:spacing w:after="0"/>
        <w:ind w:left="0"/>
        <w:jc w:val="both"/>
      </w:pPr>
      <w:r>
        <w:rPr>
          <w:rFonts w:ascii="Times New Roman"/>
          <w:b w:val="false"/>
          <w:i w:val="false"/>
          <w:color w:val="000000"/>
          <w:sz w:val="28"/>
        </w:rPr>
        <w:t>
      5) использование электронной цифровой подписи документов и сведений, направляемых в форме электронных документов при их обмене через функционал ЕЭТП судебным исполнителем, оператором ЕЭТП, участниками электронного аукциона, сторонами исполнительного производства и иными лицами;</w:t>
      </w:r>
    </w:p>
    <w:bookmarkEnd w:id="7"/>
    <w:bookmarkStart w:name="z40" w:id="8"/>
    <w:p>
      <w:pPr>
        <w:spacing w:after="0"/>
        <w:ind w:left="0"/>
        <w:jc w:val="both"/>
      </w:pPr>
      <w:r>
        <w:rPr>
          <w:rFonts w:ascii="Times New Roman"/>
          <w:b w:val="false"/>
          <w:i w:val="false"/>
          <w:color w:val="000000"/>
          <w:sz w:val="28"/>
        </w:rPr>
        <w:t>
      6) обеспечение электронного документооборота, ежедневного архивного хранения и поиска документов в электронной форме, обеспечение возможности авторизации участников электронного аукциона и разграничения прав доступа пользователей для разной категории информации.";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2" w:id="9"/>
    <w:p>
      <w:pPr>
        <w:spacing w:after="0"/>
        <w:ind w:left="0"/>
        <w:jc w:val="both"/>
      </w:pPr>
      <w:r>
        <w:rPr>
          <w:rFonts w:ascii="Times New Roman"/>
          <w:b w:val="false"/>
          <w:i w:val="false"/>
          <w:color w:val="000000"/>
          <w:sz w:val="28"/>
        </w:rPr>
        <w:t xml:space="preserve">
      "8. Комиссия по выбору ЕЭТП не позднее трех рабочих дней со дня утверждения требований к ЕЭТП, но не менее чем за пятнадцать календарных дней до окончательной даты представления потенциальными поставщиками предложений на участие в выборе ЕЭТП опубликовывает на сайте Министерства юстиции Республики Казахстан и в периодических печатных изданиях текст объявления о выборе ЕЭТП. </w:t>
      </w:r>
    </w:p>
    <w:bookmarkEnd w:id="9"/>
    <w:bookmarkStart w:name="z13" w:id="10"/>
    <w:p>
      <w:pPr>
        <w:spacing w:after="0"/>
        <w:ind w:left="0"/>
        <w:jc w:val="both"/>
      </w:pPr>
      <w:r>
        <w:rPr>
          <w:rFonts w:ascii="Times New Roman"/>
          <w:b w:val="false"/>
          <w:i w:val="false"/>
          <w:color w:val="000000"/>
          <w:sz w:val="28"/>
        </w:rPr>
        <w:t>
      9. Прием предложений от потенциальных поставщиков осуществляется в течение пятнадцати календарных дней с момента опубликования объявления.</w:t>
      </w:r>
    </w:p>
    <w:bookmarkEnd w:id="10"/>
    <w:bookmarkStart w:name="z14" w:id="11"/>
    <w:p>
      <w:pPr>
        <w:spacing w:after="0"/>
        <w:ind w:left="0"/>
        <w:jc w:val="both"/>
      </w:pPr>
      <w:r>
        <w:rPr>
          <w:rFonts w:ascii="Times New Roman"/>
          <w:b w:val="false"/>
          <w:i w:val="false"/>
          <w:color w:val="000000"/>
          <w:sz w:val="28"/>
        </w:rPr>
        <w:t>
      10. Пакет документов для участия в выборе ЕЭТП, представляемое потенциальным поставщиком, изъявившим желание участвовать в выборе ЕЭТП, содержит:</w:t>
      </w:r>
    </w:p>
    <w:bookmarkEnd w:id="11"/>
    <w:bookmarkStart w:name="z15" w:id="12"/>
    <w:p>
      <w:pPr>
        <w:spacing w:after="0"/>
        <w:ind w:left="0"/>
        <w:jc w:val="both"/>
      </w:pPr>
      <w:r>
        <w:rPr>
          <w:rFonts w:ascii="Times New Roman"/>
          <w:b w:val="false"/>
          <w:i w:val="false"/>
          <w:color w:val="000000"/>
          <w:sz w:val="28"/>
        </w:rPr>
        <w:t>
      1) заявление руководителя организации на участие в выборе ЕЭТП;</w:t>
      </w:r>
    </w:p>
    <w:bookmarkEnd w:id="12"/>
    <w:bookmarkStart w:name="z16" w:id="13"/>
    <w:p>
      <w:pPr>
        <w:spacing w:after="0"/>
        <w:ind w:left="0"/>
        <w:jc w:val="both"/>
      </w:pPr>
      <w:r>
        <w:rPr>
          <w:rFonts w:ascii="Times New Roman"/>
          <w:b w:val="false"/>
          <w:i w:val="false"/>
          <w:color w:val="000000"/>
          <w:sz w:val="28"/>
        </w:rPr>
        <w:t>
      2) нотариально засвидетельствованные документы, подтверждающие правоспособность юридического лица: документы, представляемые потенциальным поставщиком в подтверждение его соответствия требованиям к ЕЭТП;</w:t>
      </w:r>
    </w:p>
    <w:bookmarkEnd w:id="13"/>
    <w:bookmarkStart w:name="z17" w:id="14"/>
    <w:p>
      <w:pPr>
        <w:spacing w:after="0"/>
        <w:ind w:left="0"/>
        <w:jc w:val="both"/>
      </w:pPr>
      <w:r>
        <w:rPr>
          <w:rFonts w:ascii="Times New Roman"/>
          <w:b w:val="false"/>
          <w:i w:val="false"/>
          <w:color w:val="000000"/>
          <w:sz w:val="28"/>
        </w:rPr>
        <w:t>
      3) юридическое лицо представляет нотариально засвидетельствованную копию устава (при его наличии), утвержденного в установленном законодательством порядке,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p>
    <w:bookmarkEnd w:id="14"/>
    <w:bookmarkStart w:name="z18" w:id="15"/>
    <w:p>
      <w:pPr>
        <w:spacing w:after="0"/>
        <w:ind w:left="0"/>
        <w:jc w:val="both"/>
      </w:pPr>
      <w:r>
        <w:rPr>
          <w:rFonts w:ascii="Times New Roman"/>
          <w:b w:val="false"/>
          <w:i w:val="false"/>
          <w:color w:val="000000"/>
          <w:sz w:val="28"/>
        </w:rPr>
        <w:t>
      4) нотариально засвидетельствованные копии лицензий либо лицензии в виде бумажной копии электронного документа и (или) свидетельств, сертификатов, разрешений, других документов, подтверждающих право потенциального поставщика на выполнение работ, оказание услуг, связанных с ЕЭТП, предусмотренных законодательством Республики Казахстан;</w:t>
      </w:r>
    </w:p>
    <w:bookmarkEnd w:id="15"/>
    <w:bookmarkStart w:name="z19" w:id="16"/>
    <w:p>
      <w:pPr>
        <w:spacing w:after="0"/>
        <w:ind w:left="0"/>
        <w:jc w:val="both"/>
      </w:pPr>
      <w:r>
        <w:rPr>
          <w:rFonts w:ascii="Times New Roman"/>
          <w:b w:val="false"/>
          <w:i w:val="false"/>
          <w:color w:val="000000"/>
          <w:sz w:val="28"/>
        </w:rPr>
        <w:t>
      5) нотариально засвидетельствованную копию свидетельства или справки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нотариально засвидетельствованную копию заявления о государственной регистрации;</w:t>
      </w:r>
    </w:p>
    <w:bookmarkEnd w:id="16"/>
    <w:bookmarkStart w:name="z20" w:id="17"/>
    <w:p>
      <w:pPr>
        <w:spacing w:after="0"/>
        <w:ind w:left="0"/>
        <w:jc w:val="both"/>
      </w:pPr>
      <w:r>
        <w:rPr>
          <w:rFonts w:ascii="Times New Roman"/>
          <w:b w:val="false"/>
          <w:i w:val="false"/>
          <w:color w:val="000000"/>
          <w:sz w:val="28"/>
        </w:rPr>
        <w:t>
      6) оригинал справки банка или филиала банка в котором обслуживается потенциальный поставщик, за подписью уполномоченного лица и печатью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конвертов;</w:t>
      </w:r>
    </w:p>
    <w:bookmarkEnd w:id="17"/>
    <w:bookmarkStart w:name="z21" w:id="18"/>
    <w:p>
      <w:pPr>
        <w:spacing w:after="0"/>
        <w:ind w:left="0"/>
        <w:jc w:val="both"/>
      </w:pPr>
      <w:r>
        <w:rPr>
          <w:rFonts w:ascii="Times New Roman"/>
          <w:b w:val="false"/>
          <w:i w:val="false"/>
          <w:color w:val="000000"/>
          <w:sz w:val="28"/>
        </w:rPr>
        <w:t>
      7) оригинал справки установленной формы соответствующего органа государственного дохода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одного месяца, предшествующего дате вскрытия конвертов;</w:t>
      </w:r>
    </w:p>
    <w:bookmarkEnd w:id="18"/>
    <w:bookmarkStart w:name="z22" w:id="19"/>
    <w:p>
      <w:pPr>
        <w:spacing w:after="0"/>
        <w:ind w:left="0"/>
        <w:jc w:val="both"/>
      </w:pPr>
      <w:r>
        <w:rPr>
          <w:rFonts w:ascii="Times New Roman"/>
          <w:b w:val="false"/>
          <w:i w:val="false"/>
          <w:color w:val="000000"/>
          <w:sz w:val="28"/>
        </w:rPr>
        <w:t>
      8) техническую спецификацию с указанием работ, оказания услуг, предоставления гарантий качества к обслуживанию товара, к расходам, выполнения работ, оказания услуг;</w:t>
      </w:r>
    </w:p>
    <w:bookmarkEnd w:id="19"/>
    <w:bookmarkStart w:name="z23" w:id="20"/>
    <w:p>
      <w:pPr>
        <w:spacing w:after="0"/>
        <w:ind w:left="0"/>
        <w:jc w:val="both"/>
      </w:pPr>
      <w:r>
        <w:rPr>
          <w:rFonts w:ascii="Times New Roman"/>
          <w:b w:val="false"/>
          <w:i w:val="false"/>
          <w:color w:val="000000"/>
          <w:sz w:val="28"/>
        </w:rPr>
        <w:t>
      9) доверенность лицу (лицам), представляющему интересы потенциального поставщика,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 на право подписания заявления на участие в выборе ЕЭТП.</w:t>
      </w:r>
    </w:p>
    <w:bookmarkEnd w:id="20"/>
    <w:bookmarkStart w:name="z24" w:id="21"/>
    <w:p>
      <w:pPr>
        <w:spacing w:after="0"/>
        <w:ind w:left="0"/>
        <w:jc w:val="both"/>
      </w:pPr>
      <w:r>
        <w:rPr>
          <w:rFonts w:ascii="Times New Roman"/>
          <w:b w:val="false"/>
          <w:i w:val="false"/>
          <w:color w:val="000000"/>
          <w:sz w:val="28"/>
        </w:rPr>
        <w:t>
      10) иные документы, подтверждающие возможность эффективного функционирования ЕЭТП (при наличии).";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7" w:id="22"/>
    <w:p>
      <w:pPr>
        <w:spacing w:after="0"/>
        <w:ind w:left="0"/>
        <w:jc w:val="both"/>
      </w:pPr>
      <w:r>
        <w:rPr>
          <w:rFonts w:ascii="Times New Roman"/>
          <w:b w:val="false"/>
          <w:i w:val="false"/>
          <w:color w:val="000000"/>
          <w:sz w:val="28"/>
        </w:rPr>
        <w:t>
      "17. Комиссия рассматривает предложения на участие в выборе ЕЭТП и принимает решение о допуске потенциальных поставщиков к участию в выборе ЕЭТП в течение пяти календарных дней со дня вскрытия конвертов с предложениями на участие в выборе ЕЭТП.";</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29" w:id="23"/>
    <w:p>
      <w:pPr>
        <w:spacing w:after="0"/>
        <w:ind w:left="0"/>
        <w:jc w:val="both"/>
      </w:pPr>
      <w:r>
        <w:rPr>
          <w:rFonts w:ascii="Times New Roman"/>
          <w:b w:val="false"/>
          <w:i w:val="false"/>
          <w:color w:val="000000"/>
          <w:sz w:val="28"/>
        </w:rPr>
        <w:t>
      "26. Предельный размер вознаграждения оператора ЕЭТП за проведение электронного аукциона по реализации имущества составляет не более 0,5 % от стоимости реализованного имущества, 50% от которого ежемесячно направляется в Республиканскую палату частных судебных исполнителей на развитие и сопровождение автоматизированной информационной системы органов исполнительного производства.";</w:t>
      </w:r>
    </w:p>
    <w:bookmarkEnd w:id="23"/>
    <w:bookmarkStart w:name="z30" w:id="24"/>
    <w:p>
      <w:pPr>
        <w:spacing w:after="0"/>
        <w:ind w:left="0"/>
        <w:jc w:val="both"/>
      </w:pPr>
      <w:r>
        <w:rPr>
          <w:rFonts w:ascii="Times New Roman"/>
          <w:b w:val="false"/>
          <w:i w:val="false"/>
          <w:color w:val="000000"/>
          <w:sz w:val="28"/>
        </w:rPr>
        <w:t>
      дополнить пунктом 26-1 следующего содержания:</w:t>
      </w:r>
    </w:p>
    <w:bookmarkEnd w:id="24"/>
    <w:bookmarkStart w:name="z31" w:id="25"/>
    <w:p>
      <w:pPr>
        <w:spacing w:after="0"/>
        <w:ind w:left="0"/>
        <w:jc w:val="both"/>
      </w:pPr>
      <w:r>
        <w:rPr>
          <w:rFonts w:ascii="Times New Roman"/>
          <w:b w:val="false"/>
          <w:i w:val="false"/>
          <w:color w:val="000000"/>
          <w:sz w:val="28"/>
        </w:rPr>
        <w:t>
      "26-1. Оператором ЕЭТП не взимается плата за осуществление деятельности ЕЭТП при реализации арестованного имущества с государственных и частных судебных исполнителей.".</w:t>
      </w:r>
    </w:p>
    <w:bookmarkEnd w:id="25"/>
    <w:bookmarkStart w:name="z32" w:id="26"/>
    <w:p>
      <w:pPr>
        <w:spacing w:after="0"/>
        <w:ind w:left="0"/>
        <w:jc w:val="both"/>
      </w:pPr>
      <w:r>
        <w:rPr>
          <w:rFonts w:ascii="Times New Roman"/>
          <w:b w:val="false"/>
          <w:i w:val="false"/>
          <w:color w:val="000000"/>
          <w:sz w:val="28"/>
        </w:rPr>
        <w:t xml:space="preserve">
      2. Департаменту по исполнению судебных актов Министерства юстиции Республики Казахстан обеспечить: </w:t>
      </w:r>
    </w:p>
    <w:bookmarkEnd w:id="26"/>
    <w:bookmarkStart w:name="z33" w:id="27"/>
    <w:p>
      <w:pPr>
        <w:spacing w:after="0"/>
        <w:ind w:left="0"/>
        <w:jc w:val="both"/>
      </w:pPr>
      <w:r>
        <w:rPr>
          <w:rFonts w:ascii="Times New Roman"/>
          <w:b w:val="false"/>
          <w:i w:val="false"/>
          <w:color w:val="000000"/>
          <w:sz w:val="28"/>
        </w:rPr>
        <w:t>
      1) государственную регистрацию настоящего приказа и его официальное опубликование;</w:t>
      </w:r>
    </w:p>
    <w:bookmarkEnd w:id="27"/>
    <w:bookmarkStart w:name="z34" w:id="28"/>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28"/>
    <w:bookmarkStart w:name="z35" w:id="2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юстиции Республики Казахстан.</w:t>
      </w:r>
    </w:p>
    <w:bookmarkEnd w:id="29"/>
    <w:bookmarkStart w:name="z36" w:id="3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