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70cb" w14:textId="bd97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декабря 2015 года № 752 "Об утверждении некоторых методик уполномоченного органа, осуществляющего руководство в сферах естественных монополий и регулируемых рынков"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января 2017 года № 17. Зарегистрирован в Министерстве юстиции Республики Казахстан 24 февраля 2017 года № 14830.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декабря 2015 года № 752 "Об утверждении некоторых методик уполномоченного органа, осуществляющего руководство в сферах естественных монополий и регулируемых рынков" (зарегистрированный в Реестре государственной регистрации нормативных правовых актов за № 12866, опубликованный 4 февраля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некоторых методик уполномоченного органа, осуществляющего руководство в сферах естественных монополий";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тарифов (цен, ставок сборов) на регулируемые услуги (работы) морских портов, утвержденной указанным приказом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расчета тарифов (цен, ставок сборов) на регулируемые услуги (работы) морских портов (далее – Методика) разработана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Особым порядком формирования затрат, применяемым при утверждении тарифов (цен, ставок сборов) на регулируемые услуги (товары, работы) субъектов естественных монополий,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130-ОД, зарегистрированным в Реестре государственной регистрации нормативных правовых актов за № 8480 (далее – Особый порядок) и иными нормативными правовыми актами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тарифов (цен, ставок сборов) на регулируемые услуги (товары, работы) морского порта, оказываемые по договору концессии, утвержденной указанным приказом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расчета тарифов (цен, ставок сборов) на регулируемые услуги (товары, работы) морского порта, оказываемые по договору концессии (далее – Методика) разработана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",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 концессиях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Особым порядком формирования затрат, применяемым при утверждении тарифов (цен, ставок сборов) на регулируемые услуги (товары, работы) субъектов естественных монополий,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130-ОД, зарегистрированным в Реестре государственной регистрации нормативных правовых актов за № 8480 (далее – Особый порядок).";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тарифов на регулируемые услуги железнодорожных путей с объектами железнодорожного транспорта, оказываемые по договору концессии, утвержденной указанным приказом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расчета тарифов (цен, ставок сборов) на регулируемые услуги железнодорожных путей с объектами железнодорожного транспорта, оказываемые по договору концессии (далее – Методика) разработана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 концессиях</w:t>
      </w:r>
      <w:r>
        <w:rPr>
          <w:rFonts w:ascii="Times New Roman"/>
          <w:b w:val="false"/>
          <w:i w:val="false"/>
          <w:color w:val="000000"/>
          <w:sz w:val="28"/>
        </w:rPr>
        <w:t>", от 8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января 2017 год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