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515" w14:textId="4e9d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апреля 2016 года № 2-5. Зарегистрировано Департаментом юстиции Западно-Казахстанской области 26 апреля 2016 года № 4352.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Акжаикском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2-5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Акжаикском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Акжаикском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демонстрации подается заявление в акимат Акжаикского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6 - в редакции решения Акжаикского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аудио, 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решением Акжаикского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Местами проведения собраний и митингов в Акжаикском районе определить: центральную площадь улицы имени Д. Кунаева, парк "Даңқ" в селе Чапаево.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Местами проведения шествий и демонстраций в Акжаикском районе определить следующие маршруты: от центральной площади до спортивного стадиона "Жастар" улицы имени Д. Кунаева, от парка "Даңқ" до историко-краеведческого музея имени В. И. Чапаева в селе Чапаево.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</w:t>
      </w:r>
      <w:r>
        <w:br/>
      </w:r>
      <w:r>
        <w:rPr>
          <w:rFonts w:ascii="Times New Roman"/>
          <w:b/>
          <w:i w:val="false"/>
          <w:color w:val="000000"/>
        </w:rPr>
        <w:t>порядка 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