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a511" w14:textId="f1ca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18 января 2016 года № 13. Зарегистрировано Департаментом юстиции Восточно-Казахстанской области 05 февраля 2016 года № 4395. Утратило силу - постановлением акимата Кокпектинского района Восточно-Казахстанской области от 22 апреля 2016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22.04.2016 № 109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5),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Восточно-Казахстанской области от 20 января 2015 года №5 "Об организации и финансировании общественных работ в 2015 году" (зарегистрировано в Реестре государственной регистрации нормативно-правовых актов за № 3677 11 февраля 2015 года, опубликовано в газетах "Жұлдыз" - "Новая жизнь" за № 16-17 от 1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настоящего постановления возложить на заместителя акима Кокпектинского района Смаиловой К.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01 2016 года № 13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объемы, источники финансирования и конкретные условия оплачиваемых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4892"/>
        <w:gridCol w:w="1508"/>
        <w:gridCol w:w="1727"/>
        <w:gridCol w:w="1210"/>
        <w:gridCol w:w="1060"/>
        <w:gridCol w:w="621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Бастаушинского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Кулынжонского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Кокжайыкского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К.Аухадиева"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Мариногорского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Миролюбовского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Сарыбелского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Палатцынского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Улкенбокенского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Ульгулималшинского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Шугылбайского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"Кокпекты" 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"Самар" 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гектара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строительства, ЖКХ,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гектара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 филиала Республиканского Государственного Предприятия "Центр обслуживания населения"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гектара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гектара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Кокпектинского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социальные </w:t>
      </w:r>
      <w:r>
        <w:rPr>
          <w:rFonts w:ascii="Times New Roman"/>
          <w:b w:val="false"/>
          <w:i w:val="false"/>
          <w:color w:val="000000"/>
          <w:sz w:val="28"/>
        </w:rPr>
        <w:t>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общественных работ для отдельных категорий работников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женщинам, имеющим несовершеннолетних детей, многодетным матерям, инвалидам, лицам,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