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47dd" w14:textId="4cd4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22 декабря 2016 года № 465. Зарегистрировано Департаментом юстиции Восточно-Казахстанской области 26 января 2017 года № 4849. Утратило силу - постановлением Катон-Карагайского районного акимата Восточно-Казахстанской области от 3 мая 2022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акимата Восточно-Казахстанской области от 03.05.2022 № 141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Катон-Карагайский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Катон- Карагайского района Восточно-Казахстанской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Улкен Нарын, улица Ш.Тумашинова (в районе здания № 4/5)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Кайнар (около дома № 32)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Урыль, улица Кабанбай батыра (около дома № 52);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Арчаты, улица Куншыгыс (около дома № 39);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Енбек, улица Танба (около дома № 22)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Солоновка, улица Советская (около дома № 22);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Малонарымка, улица Пламенская (около дома № 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Катон-Карагай, улица Топоркова (около дома № 103-1);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Кабырга, улица Бирлик (около домов № 1, 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 Ульго, улица Тайсаринова (около дома № 96);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Чингистай, улица Баекина (около домов № 26, 28);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Мойылды, улица Отан (около дома № 2/1)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Солдатово, улица Астана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(около дома № 7)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Алтынбельский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Алтынбел, улица Тәуелсіздік (около дома № 52);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Маймер, улица Тайбуга (около дома № 73);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Уштобе, улица Токтарова (около дома № 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Егинди, улица Школьная (в районе здания №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Коробиха, улица Заречная (около дома № 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Барлык, улица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27);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Ушбулак, улица Ушбулак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10)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Белкарагай, улица Жунусова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Белкарагай, улица Бейбитшилик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34);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Согорное, улица Достык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Топкайын, улица Есимхана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Топкайын, улица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27);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Орнек, на 320 км республиканской трассы Усть-Каменогорск – Рахмановские ключи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Аккайнар, улица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35);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Кызыл-Жулдуз, улица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8/1);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Каинды, улица А. Молдагуловой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Акмарал, улица Маралды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12)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Новополяковка, улица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районе здания № 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Сенное, улица Тәуелсіздік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22)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Ново-Хайрузовка, улица Ленина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(около дома № 71)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улица Абая (около дома № 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