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5caa" w14:textId="e4b5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22 января 2015 года № 37/2-V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14 апреля 2016 года N 3/5-VI. Зарегистрировано Департаментом юстиции Восточно-Казахстанской области 16 мая 2016 года N 4544. Утратило силу решением маслихата района Алтай Восточно-Казахстанской области от 20 ноября 2019 года № 56/2-VI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22 января 2015 года № 37/2-V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3690, опубликовано в газетах "Көктас таңы", "Пульс! Зыряновска" от 12 марта 2015 года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утверждҰнных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определения размера и порядка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№ 7412) и определяют размер и порядок оказания жилищной помощи малообеспеченным семьям (гражданам).";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"23. При расчете размера жилищной помощи учитываются следующие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30 кв.м,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2-х человек – 30 кв.м,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семьи из 3-х и более человек - по 15 кв.м на каждого, но не более 60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эксплуатационные расходы на предоставляемые услуги (оплата КСК) - 30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расход газа на 1 человека в месяц при наличии в квартире газовой плиты и централизованного горячего водоснабжения – 4,57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расход газа на 1 человека в месяц при наличии в квартире газовой плиты и отсутствии централизованного горячего водоснабжения – 5,07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потребление электроэнергии на 1 человека – 90 кВт.".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