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f1f7" w14:textId="597f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2016 года № 45/4-V. Зарегистрировано Департаментом юстиции Восточно-Казахстанской области 29 марта 2016 года № 4450. Утратило силу решением Глубоковского районного маслихата Восточно-Казахстанской области от 12 июня 2020 года № 44/5-VI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 45/4-V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Места проведения митингов и собраний: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район, поселок Глубокое, обелиск Славы, расположенный по адресу улица Пирогова, район дома № 22;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район, поселок Глубокое, парк, расположенный по адресу улица Поповича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</w:t>
      </w:r>
      <w:r>
        <w:rPr>
          <w:rFonts w:ascii="Times New Roman"/>
          <w:b/>
          <w:i w:val="false"/>
          <w:color w:val="000000"/>
          <w:sz w:val="28"/>
        </w:rPr>
        <w:t>Глубоковский район, от Обелиска Славы,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расположенного по адресу поселок Глубокое, улица Пирогова, район дома № 22 до стадиона расположенного по адресу улица Поповича,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);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иную форму митинг/собрание/шествие требуется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нарушения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