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aa24" w14:textId="6c1a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23 декабря 2015 года № 38-2-V "О бюджете Бородулихинского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18 октября 2016 года № 6-2-VI. Зарегистрировано Департаментом юстиции Восточно-Казахстанской области 25 октября 2016 года № 4709. Утратило силу - решением Бородулихинского районного маслихата Восточно-Казахстанской области от 23 декабря 2016 года № 8-2-VI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23.12.2016 № 8-2-VI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 Бородулихинский районный маслихат Восточно-Казахстанской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района на 2016-2018 годы" от 23 декабря 2015 года № 38-2-V (зарегистрировано в Реестре государственной регистрации нормативных правовых актов за номером 4338, опубликовано в районной газете "Пульс района" от 22 января 2016 года № 4 (6937), "Аудан тынысы" от 22 января 2016 года № 04 (618)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3879888,1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916844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11628,4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26778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2924637,7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3881505,8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36346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51746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15400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 бюджета) – -37963,7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37963,7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на 2016 год целевые текущие трансферты из республиканского бюджета в сумме 844471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на 2016 год целевые текущие трансферты из областного бюджета в сумме 51788,7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 в составе поступлений районного бюджета на 2016 год кредиты из республиканского бюджета для реализации мер социальной поддержки специалистов 51746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по администраторам бюджетных программ 123 "Аппарат акима района в городе, города районного значения, поселка, села, сельского округа" на 2016 год объем расходов в общей сумме 293523,3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на 2016 год трансферты органам местного самоуправления в сумме 132721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Майжанов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38-2-V 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4929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056"/>
        <w:gridCol w:w="1056"/>
        <w:gridCol w:w="1056"/>
        <w:gridCol w:w="5311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3881505,8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"Услуги по обеспечению деятельности акима района в городе, города районного значения, поселка, села, сельского округа" в разрезе аппаратов сельских (поселковых)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2993"/>
        <w:gridCol w:w="6960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Степного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123.009.</w:t>
      </w:r>
      <w:r>
        <w:br/>
      </w:r>
      <w:r>
        <w:rPr>
          <w:rFonts w:ascii="Times New Roman"/>
          <w:b/>
          <w:i w:val="false"/>
          <w:color w:val="000000"/>
        </w:rPr>
        <w:t xml:space="preserve"> "Обеспечение санитарии населенных пунктов" в разрезе аппаратов сельских (поселковых)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3961"/>
        <w:gridCol w:w="6061"/>
      </w:tblGrid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38-2-V </w:t>
            </w:r>
          </w:p>
        </w:tc>
      </w:tr>
    </w:tbl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 xml:space="preserve"> "Обеспечение функционирования автомобильных дорог в городах районного значения, поселках, селах, сельских округах" в разрезе аппаратов сельских (поселковых)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3608"/>
        <w:gridCol w:w="5863"/>
      </w:tblGrid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38-2-V </w:t>
            </w:r>
          </w:p>
        </w:tc>
      </w:tr>
    </w:tbl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452.051.</w:t>
      </w:r>
      <w:r>
        <w:br/>
      </w:r>
      <w:r>
        <w:rPr>
          <w:rFonts w:ascii="Times New Roman"/>
          <w:b/>
          <w:i w:val="false"/>
          <w:color w:val="000000"/>
        </w:rPr>
        <w:t>"Трансферты органам местного самоуправления" в разрезе аппаратов сельских (поселковых) округов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3335"/>
        <w:gridCol w:w="6350"/>
      </w:tblGrid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123.011.</w:t>
      </w:r>
      <w:r>
        <w:br/>
      </w:r>
      <w:r>
        <w:rPr>
          <w:rFonts w:ascii="Times New Roman"/>
          <w:b/>
          <w:i w:val="false"/>
          <w:color w:val="000000"/>
        </w:rPr>
        <w:t>"Благоустройство и озеленение населенных пунктов" в разрезе аппаратов сельских (поселковых) округов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4412"/>
        <w:gridCol w:w="5351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38-2-V </w:t>
            </w:r>
          </w:p>
        </w:tc>
      </w:tr>
    </w:tbl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123.027.</w:t>
      </w:r>
      <w:r>
        <w:br/>
      </w:r>
      <w:r>
        <w:rPr>
          <w:rFonts w:ascii="Times New Roman"/>
          <w:b/>
          <w:i w:val="false"/>
          <w:color w:val="000000"/>
        </w:rPr>
        <w:t>"Ремонт и благоустройство объектов в рамках развития городов и сельских населенных пунктов по Дорожной карте занятости 2020" в разрезе аппаратов сельских (поселковых) округов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4317"/>
        <w:gridCol w:w="5802"/>
      </w:tblGrid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