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b9e4" w14:textId="178b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23 декабря 2015 года № 38-2-V "О бюджете Бородулихинского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07 июня 2016 года № 3-2-VI. Зарегистрировано Департаментом юстиции Восточно-Казахстанской области 16 июня 2016 года № 4566. Утратило силу - решением Бородулихинского районного маслихата Восточно-Казахстанской области от 23 декабря 2016 года № 8-2-VI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23.12.2016 № 8-2-VI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мая 2016 года № 3/24-VI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4553) Бородулихинский районный маслихат Восточно-Казахстанской области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района на 2016-2018 годы" от  № 38-2-V (зарегистрировано в Реестре государственной регистрации нормативных правовых актов за номером 4338, опубликован в районной газете "Пульс района" от  № 4 (6937), "Аудан тынысы" от  № 04 (618)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"доходы – 3883836,5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поступления-881217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 – 19130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2975588,5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– 3885454,2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"Предусмотреть в районном бюджете на 2016 год целевые текущие трансферты из областного бюджета в сумме 49310,5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"Утвердить по администраторам бюджетных программ 123 "Аппарат акима района в городе, города районного значения, поселка, села, сельского округа" на 2016 год объем расходов в общей сумме 275166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Майжанов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3-2-VI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4929"/>
        <w:gridCol w:w="3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3883836,5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24"/>
        <w:gridCol w:w="1083"/>
        <w:gridCol w:w="1084"/>
        <w:gridCol w:w="5449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3-2-VI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123.001.</w:t>
      </w:r>
      <w:r>
        <w:br/>
      </w:r>
      <w:r>
        <w:rPr>
          <w:rFonts w:ascii="Times New Roman"/>
          <w:b/>
          <w:i w:val="false"/>
          <w:color w:val="000000"/>
        </w:rPr>
        <w:t>"Услуги по обеспечению деятельности акима района в городе, города районного значения, поселка, села, сельского округа" в разрезе аппаратов  сельских (поселковых)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3335"/>
        <w:gridCol w:w="6350"/>
      </w:tblGrid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3-2-VI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123.008.</w:t>
      </w:r>
      <w:r>
        <w:br/>
      </w:r>
      <w:r>
        <w:rPr>
          <w:rFonts w:ascii="Times New Roman"/>
          <w:b/>
          <w:i w:val="false"/>
          <w:color w:val="000000"/>
        </w:rPr>
        <w:t>"Освещение улиц населенных пунктов" в разрезе аппаратов сельских (поселковых)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3961"/>
        <w:gridCol w:w="6061"/>
      </w:tblGrid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