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43bc" w14:textId="f874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марта 2016 года № 46/339-V. Зарегистрировано Департаментом юстиции Восточно-Казахстанской области 30 марта 2016 года № 4458. Утратило силу решением Аягозского районного маслихата Восточно-Казахстанской области от 2 июля 2020 года № 49/407-VI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Аягозского районного маслихата Восточно-Казахстанской области от 02.07.2020 </w:t>
      </w:r>
      <w:r>
        <w:rPr>
          <w:rFonts w:ascii="Times New Roman"/>
          <w:b w:val="false"/>
          <w:i w:val="false"/>
          <w:color w:val="000000"/>
          <w:sz w:val="28"/>
        </w:rPr>
        <w:t>№ 49/407-VI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Аягозский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собраний, митингов, шествий, пикетов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Т.Бозтаев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марта 2016 года № 46/339-V 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собраний, митингов, шествий, пикетов и демонстраций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Места проведения митингов и собраний: город Аягоз: парк "Ардагерлер" по улице А. Танирбергенова, парк культуры и отдыха "Аман" по улице Р. Кошкарбаева.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Аягозского районного маслихата Восточно-Казахстанской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41/282-VI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Шествия и демонстрации проходят по маршруту: город Аягоз: от пересечения бульвара Абая – улицы Б. Момышулы, движение вверх по бульвару Абая до перекрестка с улицей А. Танирбергенова, движение по улице А. Танирбергенова до перекрестка с бульваром Абая, движение вниз по бульвару Абая до центрального входа районного дома культуры (бульвар Абая, 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Аягозского районного маслихата Восточно-Казахстанской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41/282-VI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юрт, палаток, иных временных сооружений без согласования с местным исполнительным органом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 Конституции, законов и иных нормативных актов Республики Казахстан, либо их проведение угрожает общественному порядку и безопасности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местах проведения собрания, митинга, шествия, пикета или демонстрации не допускается распитие алкогольных напитков, употребление наркотических средств, психотропных веществ, их аналогов; использование транспарантов, лозунгов, иных материалов (</w:t>
      </w:r>
      <w:r>
        <w:rPr>
          <w:rFonts w:ascii="Times New Roman"/>
          <w:b/>
          <w:i w:val="false"/>
          <w:color w:val="000000"/>
          <w:sz w:val="28"/>
        </w:rPr>
        <w:t>визуальных, аудио/видео</w:t>
      </w:r>
      <w:r>
        <w:rPr>
          <w:rFonts w:ascii="Times New Roman"/>
          <w:b/>
          <w:i w:val="false"/>
          <w:color w:val="000000"/>
          <w:sz w:val="28"/>
        </w:rPr>
        <w:t>);</w:t>
      </w:r>
      <w:r>
        <w:rPr>
          <w:rFonts w:ascii="Times New Roman"/>
          <w:b w:val="false"/>
          <w:i w:val="false"/>
          <w:color w:val="000000"/>
          <w:sz w:val="28"/>
        </w:rPr>
        <w:t xml:space="preserve"> а также публичные выступления, содержащие призывы к нарушению общественного порядка, антиобщественного поведения и иных правонарушений.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Пикеты должны проводиться в соответствии с целями, указанными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При пикетировании разрешается: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выкрикивать краткие лозунги, солганы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Для переформатирования/продолжения пикета в иной форме митинг/собрание/шествие необходимо получение в установленном порядке разрешение местного исполнительного органа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(городской общественный транспорт, снабжение водой, электроэнергией, теплом и другими энергоносителями), и учреждений здравоохранения 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Собрания, митинги, шествия, пикеты и демонстрации прекращаются по требованию представителя местного исполнительного органа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случае отказа от выполнения законных требований представителя местного исполнительного органа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