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d9ac" w14:textId="1a1d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Курчатовского городского маслихата от 04 июля 2014 года № 25/180-V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16 сентября 2016 года № 6/38-VI. Зарегистрировано Департаментом юстиции Восточно-Казахстанской области 7 октября 2016 года № 4686. Утратило силу - решением Курчатовского городского маслихата Восточно-Казахстанской области от 14 июня 2017 года № 14/103-VI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Курчатовского городского маслихата Восточно-Казахстанской области от 14.06.2017 № 14/103-VI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мая 2015 года № 367 "Об утверждении перечня социально значимых заболеваний и заболеваний, представляющих опасность для окружающих",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04 июля 2014 года № 25/180-V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3401, опубликовано 31 июля 2014 года в газете "7 дней" № 31)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"Правила оказания социальной помощи, установления размеров и определения перечня отдельных категорий нуждающихся граждан"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"8-1. Ежемесячная социальная помощь гражданам, болеющим активными формами туберкулеза, находящимся на амбулаторном лечении, в размере 6 МРП (без учета дохода семьи).".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Остапенко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Карымбаева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