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1837" w14:textId="0a71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марта 2016 года № 68. Зарегистрировано Департаментом юстиции Восточно-Казахстанской области 21 апреля 2016 года № 4503.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2015 года № 6-4/1072 "Об утверждении стандарта государственной услуги "Субсидирование стоимости услуг по подаче воды сельскохозяйственным товаропроизводителям" (зарегистрированным в Реестре государственной регистрации нормативных правовых актов за номером 12933),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</w:t>
      </w:r>
      <w:r>
        <w:rPr>
          <w:rFonts w:ascii="Times New Roman"/>
          <w:b/>
          <w:i w:val="false"/>
          <w:color w:val="000000"/>
          <w:sz w:val="28"/>
        </w:rPr>
        <w:t>убсидирование стоимости услуг по подаче воды сельскохозяйственным товаропроизводителям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"Субсидирование стоимости услуг по подаче воды сельскохозяйственным товаропроизводителям" от 20 марта 2014 года № 59 (зарегистрированное в Реестре государственной регистрации нормативных правовых актов за номером 3243, опубликованное в газетах "Дидар" от 7 мая 2014 года № 50 (16987), "Рудный Алтай" от 6 мая 2014 года № 50 (19497).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марта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</w:t>
            </w:r>
          </w:p>
        </w:tc>
      </w:tr>
    </w:tbl>
    <w:bookmarkStart w:name="z5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услуг по подаче воды сельскохозяйственным товаропроизводителям"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23.01.2019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5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услуг по подаче воды сельскохозяйственным товаропроизводителям" (далее – государственная услуга) оказывается управлением сельского хозяйства местного исполнительного органа области (далее - услугодатель).</w:t>
      </w:r>
    </w:p>
    <w:bookmarkEnd w:id="3"/>
    <w:bookmarkStart w:name="z6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через Государственную корпорацию "Правительство для граждан" (далее – Государственная корпорация).</w:t>
      </w:r>
    </w:p>
    <w:bookmarkEnd w:id="4"/>
    <w:bookmarkStart w:name="z6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5"/>
    <w:bookmarkStart w:name="z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</w:p>
    <w:bookmarkEnd w:id="6"/>
    <w:bookmarkStart w:name="z6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7"/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о результатах рассмотрения заявки на получение субсидий на бумажном носителе с решением о назначении/не назначении субсидии, подписанное уполномоченным лицом услугодателя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"Субсидирование стоимости услуг по подаче воды сельскохозяйственным товаропроизводителям", утвержденному приказом Министра сельского хозяйства Республики Казахстан от 8 декабря 2015 года № 6-4/1072 (зарегистрированным в Реестре государственной регистрации нормативных правовых актов за номером 12933) (далее - Стандарт).</w:t>
      </w:r>
    </w:p>
    <w:bookmarkEnd w:id="8"/>
    <w:bookmarkStart w:name="z6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6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заявки услугополучателя, либо его представителя (физического лица – по доверенности, удостоверенной нотариально, юридического лица – по документу, подтверждающему полномочия)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1"/>
    <w:bookmarkStart w:name="z6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–после поступления заявки в адрес услугодателя через Государственную корпорацию канцелярия услугодателя принимает и регистрирует заявки услугополучателя. Длительность выполнения- 15 (пятнадцать) минут;</w:t>
      </w:r>
    </w:p>
    <w:bookmarkEnd w:id="12"/>
    <w:bookmarkStart w:name="z6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рассмотрение исполнителем услугодателя заявки услугополучателя на соответствие условиям получения субсидий,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стоимости услуг по подаче воды сельскохозяйственным товаропроизводителям, утвержденными приказом Министра сельского хозяйства Республики Казахстан от 30 июня 2015 года  № 6-3/597 (зарегистрированным в Реестре государственной регистрации нормативных правовых актов за номером 12714) (далее - Правила) и формирование ведомости на оплату бюджетных субсидий либо мотивированного отказа в оказании государственной услуги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- 3 (три) рабочих дня;</w:t>
      </w:r>
    </w:p>
    <w:bookmarkEnd w:id="13"/>
    <w:bookmarkStart w:name="z7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3 - предоставление в территориальное подразделение казначейства платежных документов к оплате для дальнейшего перечисления причитающихся субсидийна банковские счета услугополучателя. Длительность выполнения - 1 (один) рабочий день. </w:t>
      </w:r>
    </w:p>
    <w:bookmarkEnd w:id="14"/>
    <w:bookmarkStart w:name="z7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при обращении в Государственную корпорацию с момента сдачи заявки услугодателю - 4 (четыре) рабочих дня.</w:t>
      </w:r>
    </w:p>
    <w:bookmarkEnd w:id="15"/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</w:t>
      </w:r>
    </w:p>
    <w:bookmarkEnd w:id="16"/>
    <w:bookmarkStart w:name="z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зарегистрированная заявка услугополучателя, которая служит основанием для выполнения действия 2. Результатом действия 2, указанного в пункте 5 настоящего Регламента, является сформированная ведомость на оплату бюджетных субсидий, которая служит основанием для выполнения действия 3, либо мотивированный отказ в оказании государственной услуги. Результатом действия 3, указанного в пункте 5 настоящего Регламента, являются предоставленные в территориальное подразделение казначейства платежные документы к оплате.</w:t>
      </w:r>
    </w:p>
    <w:bookmarkEnd w:id="17"/>
    <w:bookmarkStart w:name="z7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bookmarkStart w:name="z7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"/>
    <w:bookmarkStart w:name="z7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20"/>
    <w:bookmarkStart w:name="z7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услугодателя.</w:t>
      </w:r>
    </w:p>
    <w:bookmarkEnd w:id="21"/>
    <w:bookmarkStart w:name="z7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22"/>
    <w:bookmarkStart w:name="z7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–после поступления заявки в адрес услугодателя через Государственную корпорацию канцелярия услугодателя принимает и регистрирует заявки услугополучателя. Длительность выполнения - 15 (пятнадцать) минут;</w:t>
      </w:r>
    </w:p>
    <w:bookmarkEnd w:id="23"/>
    <w:bookmarkStart w:name="z8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рассмотрение исполнителем услугодателя заявки услугополучателя на соответствие условиям получения субсидий, установленным Правилами и формирование ведомости на оплату бюджетных субсидий либо мотивированного отказа в оказании государственной услуги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- 3 (три) рабочих дня;</w:t>
      </w:r>
    </w:p>
    <w:bookmarkEnd w:id="24"/>
    <w:bookmarkStart w:name="z8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3 - предоставление в территориальное подразделение казначейства платежных документов к оплате для дальнейшего перечисления причитающихся субсидийна банковские счета услугополучателя. Длительность выполнения - 1 (один) рабочий день.</w:t>
      </w:r>
    </w:p>
    <w:bookmarkEnd w:id="25"/>
    <w:bookmarkStart w:name="z8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электронной государственной услуги</w:t>
      </w:r>
    </w:p>
    <w:bookmarkEnd w:id="26"/>
    <w:bookmarkStart w:name="z8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 предоставляют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7"/>
    <w:bookmarkStart w:name="z8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15 (пятнадцать) минут.</w:t>
      </w:r>
    </w:p>
    <w:bookmarkEnd w:id="28"/>
    <w:bookmarkStart w:name="z8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Услугополучатель, обратившись в Государственную корпорацию, заполняет бланк заявления на бумажном носителе.</w:t>
      </w:r>
    </w:p>
    <w:bookmarkEnd w:id="29"/>
    <w:bookmarkStart w:name="z8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(оператор) операционного зала Государственной корпорации принимает заявление на бумажном носителе и регистрирует принятое заявление в информационной системе мониторинга оказания государственных услуг (далее - ИСМ) Государственной корпорации и выдает услугополучателю расписку о приеме соответствующих документов, а также с датой выдачи готовых документов.</w:t>
      </w:r>
    </w:p>
    <w:bookmarkEnd w:id="30"/>
    <w:bookmarkStart w:name="z8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1"/>
    <w:bookmarkStart w:name="z8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Поступившее в накопительный сектор заявление (с пакетом документов), фиксируется в системе ИСМ Государственной корпорации путем сканирования штрих-кода на расписке.</w:t>
      </w:r>
    </w:p>
    <w:bookmarkEnd w:id="32"/>
    <w:bookmarkStart w:name="z8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передаваемых документов услугодателю формируется в ИСМ Государственной корпорации автоматически. Работник (специалист) осуществляет передачу услугодателю распечатанного реестра передаваемых документов в двух экземплярах.</w:t>
      </w:r>
    </w:p>
    <w:bookmarkEnd w:id="33"/>
    <w:bookmarkStart w:name="z9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заявления (с пакетом документов) с двумя экземплярами реестра,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</w:p>
    <w:bookmarkEnd w:id="34"/>
    <w:bookmarkStart w:name="z9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к выдаче документы с приложением двух экземпляров реестра, доставляются от услугодателя через курьерскую или иную уполномоченную на это связь, в установленном графиком время, утвержденным руководителем Государственной корпорации.</w:t>
      </w:r>
    </w:p>
    <w:bookmarkEnd w:id="35"/>
    <w:bookmarkStart w:name="z9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</w:t>
      </w:r>
    </w:p>
    <w:bookmarkEnd w:id="36"/>
    <w:bookmarkStart w:name="z9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запроса через Государственную корпорацию:</w:t>
      </w:r>
    </w:p>
    <w:bookmarkEnd w:id="37"/>
    <w:bookmarkStart w:name="z9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– 4 (четыре) рабочих дня. День приема не входит в срок оказания государственной услуги.</w:t>
      </w:r>
    </w:p>
    <w:bookmarkEnd w:id="38"/>
    <w:bookmarkStart w:name="z9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услугополучателю решения, подписанного уполномоченным лицом услугодателя, о назначении/не назначении субсидии, осуществляется его работником на основании расписки, при предъявлении документа, удостоверяющего личность (либо его представителя по доверенности, удостоверенной нотариально, юридическому лицу - по документу, подтверждающему полномочия).</w:t>
      </w:r>
    </w:p>
    <w:bookmarkEnd w:id="39"/>
    <w:bookmarkStart w:name="z9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взаимадействий структурных подразделений (работников) услугодателя в процессе оказания государственной услуги, а также описание порядка взоимодействия с Государственной корпорацией,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 - ресурсе услугодателя.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 по подаче воды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bookmarkStart w:name="z9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услуг по подаче воды сельскохозяйственным товаропроизводителям" через Государственную корпорацию</w:t>
      </w:r>
    </w:p>
    <w:bookmarkEnd w:id="41"/>
    <w:bookmarkStart w:name="z9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3"/>
    <w:bookmarkStart w:name="z10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