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a4a2" w14:textId="db8a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22 сентября 2015 года № 245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марта 2016 года № 62. Зарегистрировано Департаментом юстиции Восточно-Казахстанской области 6 апреля 2016 года № 4474.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6 ноября 2015 года № 3-2/980 "О внесении изменений и дополнения в некоторые приказы Министра сельского хозяйства Республики Казахстан" (зарегистрированным в Реестре государственной регистрации нормативных правовых актов за номером 12393)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акимата "Об утверждении регламентов государственных услуг в области животноводства" от 22 сентября 2015 года № 245 (зарегистрированное в Реестре государственной регистрации нормативных правовых актов за номером 4194, опубликованное в газетах "Дидар" от 31 декабря 2015 года № 151 (17240), "Рудный Алтай" от 31 декабря 2015 года № 153 (19752)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 xml:space="preserve">убсидирование на развитие племенного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животноводства, повышение продуктивности и качества продукции животноводства",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марта 2016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 № 245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канцелярии услугодателя, местных исполнительных органов районов и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приказом Министра сельского хозяйства Республики Казахстан от 28 апреля 2015 года № 3-2/378 (зарегистрированным в Реестре государственной регистрации нормативных правовых актов № 11284),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канцелярией отдела района (города областного значения) заявки и документов услугополучателя, предусмотренных пунктом 9 Стандарта, в журнале регистрации заявок. Услугодатель после приема заявок и пакета документов выдает услугополучателю талон, с указанием даты и времени, фамилии и инициалов должностного лица, принявшего заявку.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проверка исполнителем отдела района (города областного значения) пакета документов услугополучателя. Длительность выполнения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проверка исполнителем отдела района (города областного значения) данных, представленных услугополучателем в заявке, в соответствии с требованиями действующего законодательства.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определение исполнителем отдела района (города областного значения) соответствия документов услугополучателя определенному уровню, составление сводного акта по району (городу областного значения), утверждение акимом района (города областного значения) и представление услугодателю.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регистрация канцелярией услугодателя сводных актов по районам (городам областного значения) в журнале регистрации.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6 – рассмотрение исполнителем услугодателя сводных актов по районам (городам областного значения) на соответствие требованиям законодательства и направление их на рассмотрение комиссии. Длительность выполнения – 3 (три)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– рассмотрение сводных актов по районам (городам областного значения) комиссией услугодателя и составление сводного акта по области.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8 – утверждение председателем комиссии сводного акта по области.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9 – предоставление услугодателем в территориальное подразделение казначейства реестра счетов к оплате.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10 – подготовка и направление услугодателю уведомления о результатах рассмотрения заявки. Длительность выполнения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Сроки оказания государственной услуги при обращении к услугодателю, в ЦОН, а также при обращении на портал с момента сдачи пакета документов 24 (двадцать четыре) рабочих дня, в случае наличия квоты и финансовых средств в соответствующем месяце.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ЦОН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являются проверенные документы услугополучателя, которые служат основанием для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являются проверенные данные, которые служат основанием для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составленный, утвержденный сводный акт по району (городу областного значения), который служит основанием для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5, указанного в пункте 5 настоящего Регламента, является зарегистрированный сводный акт, который служит основанием для выполнения действия 6,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6, указанного в пункте 5 настоящего Регламента, является направление сводных актов районов (городов областного значения) на рассмотрение комиссии для выполнения действия 7,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7, указанного в пункте 5 настоящего Регламента, является составление сводного акта по области, который служит основанием для выполнения действия 8,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8, указанного в пункте 5 настоящего Регламента, является утвержденный председателем комиссии сводный акт по области, который служит основанием для выполнения действия 9,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9, указанного в пункте 5 настоящего Регламента, является предоставление в территориальное подразделение казначейства реестра счетов к оплате, которое служит основанием для выполнения действия 10,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10, указанного в пункте 5 настоящего Регламента, является предоставление услугополучателю уведомления о результатах рассмотрения заявки. </w:t>
      </w:r>
    </w:p>
    <w:bookmarkEnd w:id="4"/>
    <w:bookmarkStart w:name="z5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канцелярия отдела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отдела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канцелярией отдела района (города областного значения) заявки и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заявок.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проверка исполнителем отдела района (города областного значения) пакета документов услугополучателя. Длительность выполнения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исполнителем отдела района (города областного значения) данных, представленных услугополучателем в заявке, в соответствии с требованиями действующего законодательства.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определение исполнителем отдела района (города областного значения) соответствия документов услугополучателя определенному уровню, составление сводного акта по району (городу областного значения), утверждение акимом района (города областного значения) и представление в услугодателя 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регистрация канцелярией услугодателя сводных актов по районам (городам областного значения) в журнале регистрации.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рассмотрение исполнителем услугодателя сводных актов по районам (городам областного значения) на соответствие требованиям законодательства и направление их на рассмотрение комиссии.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рассмотрение сводных актов по районам (городам областного значения) комиссией услугодателя и составление сводного акта по области.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утверждение председателем комиссии сводного акта по области.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предоставление услугодателем в территориальное подразделение казначейства реестра счетов к оплате.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подготовка и направление услугополучателю уведомления о результатах рассмотрения заявки. Длительность выполнения – 2 (два) рабочих дня.</w:t>
      </w:r>
    </w:p>
    <w:bookmarkEnd w:id="6"/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ЦОНом, а также порядка использования информационных систем в процессе оказания государственной услуги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ЦОН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 Услугополучатель, обратившись в ЦОН, заполняет бланк заявления на бумажном носителе, указывая наименование государственной услуги, которую необходимо получить.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(оператор) операционного зала ЦОНа принимает заявление на бумажном носителе (с прилагаемыми документами).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ЦОНа регистрирует принятое заявление в интегрированной информационной системе (далее - ИИС) ЦОНа и выдает услугополучателю расписку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перечню, утвержденному пунктом 9 Стандарта, работник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ЦОНа отказывает в приеме заявление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Поступившее в накопительный центр заявление (с пакетами документов) фиксируется в системе ИИС ЦОНа путем сканирования штрих-кода на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Реестр передаваемых документов услугодателю формируется в ИИС ЦОНа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Сформированные заявления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ЦОНа. Второй экземпляр реестра возвращается в ЦОН с отметкой услугодателя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Готовые к выдаче документы с приложением двух экземпляров реестра доставляются от услугодателя через курьерскую или иную уполномоченную на это связь, в установленное графиком время, утвержденным руководителем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запроса через ЦОН: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Получение результата оказания государственной услуги осуществляется услугополучателем на основании расписки о приеме соответствующих документов при предъявлении удостоверения личности (либо его представителем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обращения и последовательности процедур (действий) услугополучателя и услугодателя,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</w:t>
      </w:r>
      <w:r>
        <w:rPr>
          <w:rFonts w:ascii="Times New Roman"/>
          <w:b/>
          <w:i w:val="false"/>
          <w:color w:val="000000"/>
          <w:sz w:val="28"/>
        </w:rPr>
        <w:t xml:space="preserve">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/>
          <w:i w:val="false"/>
          <w:color w:val="000000"/>
          <w:sz w:val="28"/>
        </w:rPr>
        <w:t xml:space="preserve"> Стандарта, а также выбор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</w:t>
      </w:r>
      <w:r>
        <w:rPr>
          <w:rFonts w:ascii="Times New Roman"/>
          <w:b/>
          <w:i w:val="false"/>
          <w:color w:val="000000"/>
          <w:sz w:val="28"/>
        </w:rPr>
        <w:t xml:space="preserve"> регистрационного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процессов оказания государственной услуги размещается на веб-портале "электронного. правительства", интернет ресурсе услугодателя.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9"/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676900" cy="1224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22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683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10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12"/>
    <w:bookmarkStart w:name="z10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услугодателя</w:t>
      </w:r>
    </w:p>
    <w:bookmarkEnd w:id="13"/>
    <w:bookmarkStart w:name="z1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591300" cy="132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32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ЦОН</w:t>
      </w:r>
    </w:p>
    <w:bookmarkEnd w:id="15"/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132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146800" cy="957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9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 оказании государственной услуги через портал</w:t>
      </w:r>
    </w:p>
    <w:bookmarkEnd w:id="18"/>
    <w:bookmarkStart w:name="z1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137400" cy="1239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123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