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67341" w14:textId="24673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 подушевого финансирования и родительской платы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Тюлькубасского района Южно-Казахстанской области от 16 августа 2016 года № 315. Зарегистрировано Департаментом юстиции Южно-Казахстанской области 23 августа 2016 года № 3840. Утратило силу постановлением акимата Тюлькубасского района Южно-Казахстанской области от 19 октября 2017 года № 272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Тюлькубасского района Южно-Казахстанской области от 19.10.2017 № 272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Тюлькубасского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подушевого финансирования и родительской платы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Б.Танагузова.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А.Тургумбеков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2016 года № 315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</w:t>
      </w:r>
      <w:r>
        <w:br/>
      </w:r>
      <w:r>
        <w:rPr>
          <w:rFonts w:ascii="Times New Roman"/>
          <w:b/>
          <w:i w:val="false"/>
          <w:color w:val="000000"/>
        </w:rPr>
        <w:t>воспитание и обучение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акимата Тюлькубасского района Южно-Казахстанской области от 29.05.2017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6"/>
        <w:gridCol w:w="5257"/>
        <w:gridCol w:w="5257"/>
      </w:tblGrid>
      <w:tr>
        <w:trPr>
          <w:trHeight w:val="30" w:hRule="atLeast"/>
        </w:trPr>
        <w:tc>
          <w:tcPr>
            <w:tcW w:w="1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дошкольных организациях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6 321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2016 года № 315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подушевого финансирования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акимата Тюлькубасского района Южно-Казахстанской области от 29.05.2017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"/>
        <w:gridCol w:w="2165"/>
        <w:gridCol w:w="3367"/>
        <w:gridCol w:w="2509"/>
        <w:gridCol w:w="2163"/>
        <w:gridCol w:w="1822"/>
      </w:tblGrid>
      <w:tr>
        <w:trPr>
          <w:trHeight w:val="30" w:hRule="atLeast"/>
        </w:trPr>
        <w:tc>
          <w:tcPr>
            <w:tcW w:w="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одного воспитанника в месяц, тенге (не более)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сад, ясли сад до 60 детей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сад, ясли садот 60 до 175 детей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сад, ясли сад свыше 175 детей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центры при школе (полный день)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центры при школе (полудневный)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18 054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На ежемесячный расход одного воспитанника не включены расходы на текущий ремонт зданий и сооружений и укрепление материально-технической базы.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2016 года № 315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4639"/>
        <w:gridCol w:w="6890"/>
      </w:tblGrid>
      <w:tr>
        <w:trPr>
          <w:trHeight w:val="30" w:hRule="atLeast"/>
        </w:trPr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возраста ребенка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питание одного ребенка в день (не более),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Расходы на одного ребенка в месяц рассчитываются на фактические рабочие дни.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