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8b5a" w14:textId="ef88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4 апреля 2016 года № 121. Зарегистрировано Департаментом юстиции Южно-Казахстанской области 4 мая 2016 года № 3738. Утратило силу постановлением акимата Толебийского района Южно-Казахстанской области от 10 апреля 2017 года № 103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10.04.2017 № 103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Толебийского района" в порядке, установленном законодательными актами Республики Казахстан,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Толебийского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Толебийского района Бекмурзаева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апрелья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27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годовая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380"/>
        <w:gridCol w:w="1848"/>
        <w:gridCol w:w="1539"/>
        <w:gridCol w:w="1906"/>
        <w:gridCol w:w="2122"/>
        <w:gridCol w:w="2124"/>
        <w:gridCol w:w="516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 дисциплины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347"/>
        <w:gridCol w:w="1790"/>
        <w:gridCol w:w="2181"/>
        <w:gridCol w:w="1807"/>
        <w:gridCol w:w="1809"/>
        <w:gridCol w:w="804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565"/>
        <w:gridCol w:w="4797"/>
        <w:gridCol w:w="2932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      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 годовая и оцениваемый период (квартал и (или) год))</w:t>
      </w:r>
      <w:r>
        <w:br/>
      </w:r>
      <w:r>
        <w:rPr>
          <w:rFonts w:ascii="Times New Roman"/>
          <w:b/>
          <w:i w:val="false"/>
          <w:color w:val="000000"/>
        </w:rPr>
        <w:t>
      Результаты оценки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3789"/>
        <w:gridCol w:w="1699"/>
        <w:gridCol w:w="3790"/>
        <w:gridCol w:w="960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