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a1829" w14:textId="4fa18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Сарыагашского района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Сарыагашского района Южно-Казахстанской области от 5 марта 2016 года № 116. Зарегистрировано Департаментом юстиции Южно-Казахстанской области 4 апреля 2016 года № 3688. Утратило силу постановлением акимата Сарыагашского района Южно-Казахстанской области от 16 марта 2017 года № 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Сарыагашского района Южно-Казахстанской области от 16.03.2017 № 90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служащих", зарегистрированного в Реестре государственной регистрации нормативных правовых актов за № 12705, акимат Сарыагашского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Сарыагашского района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Государственному учреждению "Аппарат акима Сарыагашского района" в порядке, установленном законодательными актами Республики Казахстан,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официальное опубликование настоящего постановления в периодическом печатном изданий, распространяемое на территории Сарыагашского района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интернет-ресурсе акимата Сарыагашского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Сарыагашского района Алсеитова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Б.Парманов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2016 года № 116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</w:t>
      </w:r>
      <w:r>
        <w:br/>
      </w:r>
      <w:r>
        <w:rPr>
          <w:rFonts w:ascii="Times New Roman"/>
          <w:b/>
          <w:i w:val="false"/>
          <w:color w:val="000000"/>
        </w:rPr>
        <w:t>исполнительных органов, финансируемых из районного бюджета и административных государственных служащих аппарата акима Сарыагашского района корпуса "Б"</w:t>
      </w:r>
    </w:p>
    <w:bookmarkEnd w:id="0"/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исполнительных органов, финансируемых из районного бюджета и административных государственных служащих аппарата акима Сарыагашского района корпуса "Б"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исполнительных органов, финансируемых из районного бюджета и административных государственных служащих аппарата акима Сарыагашского района корпуса "Б"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Служащие корпуса "Б", находящиеся в социальных отпусках, проходят оценку после выхода на работу в сроки, указанные в настоящем пункте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руководителей исполнительных органов, финансируемых из районного бюджета и акимов города, поселка, села и сельских округов оценка проводится акимом района либо по его уполномочию одним из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Для проведения оценки деятельности служащих корпуса "Б" создается Комиссия по оценке согласно определенным правилам и срокам проведения оценки деятельности государственных служащих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152, рабочим органом которой является служба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Служба управления персоналом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 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 службы управления персоналом и непосредственный руководитель служащего корпуса "Б" в произвольной форме составляет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 службы управления персоналом и непосредственный руководитель служащего корпуса "Б" в произвольной форме составляет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Служба управления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0066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82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средняя оценка за отчетные кварталы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 этом полученное средне 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"неудовлетворительно" (менее 80 баллов) присваиваются 2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"удовлетворительно" (от 80 до 105 баллов) – 3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"эффективно" (от 106 до 130 (включительно) баллов) – 4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77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3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3 до 4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4 до 5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39. Служба управления персоналом обеспечивает проведение заседания Комиссии по оценке по рассмотрению результатов оценки в соответствии с графиком, согласованным с председателем Комиссии по оценке.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предоставляет на заседание Комиссии по оценке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оценке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по оценке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по оценке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службой управления персоналом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Служба управления персоналом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от ознакомления не может служить препятствием для внесения результатов оценки в его послужной список. В этом случае сотрудником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по оценке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по оценке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корпуса "Б" направляется на курсы повышения квалификации в течение трех месяцев после утверждения Комиссией по оценке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51. 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__________________________________год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2"/>
        <w:gridCol w:w="6287"/>
        <w:gridCol w:w="2351"/>
      </w:tblGrid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07"/>
        <w:gridCol w:w="6593"/>
      </w:tblGrid>
      <w:tr>
        <w:trPr>
          <w:trHeight w:val="30" w:hRule="atLeast"/>
        </w:trPr>
        <w:tc>
          <w:tcPr>
            <w:tcW w:w="5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1794"/>
        <w:gridCol w:w="1530"/>
        <w:gridCol w:w="1532"/>
        <w:gridCol w:w="2247"/>
        <w:gridCol w:w="1916"/>
        <w:gridCol w:w="1917"/>
        <w:gridCol w:w="595"/>
      </w:tblGrid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Самооценка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непосредственного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2"/>
        <w:gridCol w:w="2337"/>
        <w:gridCol w:w="1870"/>
        <w:gridCol w:w="2334"/>
        <w:gridCol w:w="1641"/>
        <w:gridCol w:w="1641"/>
        <w:gridCol w:w="1055"/>
      </w:tblGrid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(вид оценки : квартальная / годовая и оцениваемый период (квартал и (или) год))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6"/>
        <w:gridCol w:w="4601"/>
        <w:gridCol w:w="1846"/>
        <w:gridCol w:w="2654"/>
        <w:gridCol w:w="873"/>
      </w:tblGrid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Ф.И.О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 его наличии</w:t>
      </w:r>
      <w:r>
        <w:rPr>
          <w:rFonts w:ascii="Times New Roman"/>
          <w:b w:val="false"/>
          <w:i/>
          <w:color w:val="000000"/>
          <w:sz w:val="28"/>
        </w:rPr>
        <w:t>).,</w:t>
      </w:r>
      <w:r>
        <w:rPr>
          <w:rFonts w:ascii="Times New Roman"/>
          <w:b w:val="false"/>
          <w:i/>
          <w:color w:val="000000"/>
          <w:sz w:val="28"/>
        </w:rPr>
        <w:t xml:space="preserve">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Ф.И.О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Ф.И.О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