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fff9" w14:textId="18cf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Сарыагашского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Сарыагашского района Южно-Казахстанской области от 3 февраля 2016 года № 45. Зарегистрировано Департаментом юстиции Южно-Казахстанской области 5 марта 2016 года № 3617. Утратило силу постановлением акимата Сарыагашского района Южно-Казахстанской области от 3 июня 2016 года № 288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Сарыагашского района Южно-Казахстанской области от 03.06.2016 № 288.</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пунктом </w:t>
      </w:r>
      <w:r>
        <w:rPr>
          <w:rFonts w:ascii="Times New Roman"/>
          <w:b w:val="false"/>
          <w:i w:val="false"/>
          <w:color w:val="000000"/>
          <w:sz w:val="28"/>
        </w:rPr>
        <w:t>2 статьи</w:t>
      </w:r>
      <w:r>
        <w:rPr>
          <w:rFonts w:ascii="Times New Roman"/>
          <w:b w:val="false"/>
          <w:i w:val="false"/>
          <w:color w:val="000000"/>
          <w:sz w:val="28"/>
        </w:rPr>
        <w:t xml:space="preserve">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Сарыагашского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Сарыагашского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Сарыагашского района Алсеитова Ж.</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"3" февраля 2016 года № 45</w:t>
            </w:r>
          </w:p>
        </w:tc>
      </w:tr>
    </w:tbl>
    <w:bookmarkStart w:name="z6" w:id="0"/>
    <w:p>
      <w:pPr>
        <w:spacing w:after="0"/>
        <w:ind w:left="0"/>
        <w:jc w:val="left"/>
      </w:pPr>
      <w:r>
        <w:rPr>
          <w:rFonts w:ascii="Times New Roman"/>
          <w:b/>
          <w:i w:val="false"/>
          <w:color w:val="000000"/>
        </w:rPr>
        <w:t xml:space="preserve"> Регламент акимата Сарыагашского района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Сарыагашского района (далее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района, исполнительных органов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6.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местного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xml:space="preserve">
      Постановления принимаются большинством голосов присутствующих членов акимата. </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(секретарь акимата),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 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 </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 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Поступившие обращения физических и юридических лиц, по которым принимаются постановления акимата, контролируются по специальной программе.</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за исключением актов, содержащих государственные секреты, подлежат государственной регистрации территориальными органами Министерства юстиции Республики Казахстан и официальному опубликованию на интернет - ресурсе акимата района, а также периодических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w:t>
      </w:r>
    </w:p>
    <w:bookmarkEnd w:id="5"/>
    <w:bookmarkStart w:name="z46" w:id="6"/>
    <w:p>
      <w:pPr>
        <w:spacing w:after="0"/>
        <w:ind w:left="0"/>
        <w:jc w:val="left"/>
      </w:pPr>
      <w:r>
        <w:rPr>
          <w:rFonts w:ascii="Times New Roman"/>
          <w:b/>
          <w:i w:val="false"/>
          <w:color w:val="000000"/>
        </w:rPr>
        <w:t xml:space="preserve"> Премьер-Министра Республики Казахстан, акиматов и акимов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40. Заместители акима, руководитель аппарата по фактам грубых нарушений установленного порядка согласования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54" w:id="7"/>
    <w:p>
      <w:pPr>
        <w:spacing w:after="0"/>
        <w:ind w:left="0"/>
        <w:jc w:val="left"/>
      </w:pPr>
      <w:r>
        <w:rPr>
          <w:rFonts w:ascii="Times New Roman"/>
          <w:b/>
          <w:i w:val="false"/>
          <w:color w:val="000000"/>
        </w:rPr>
        <w:t xml:space="preserve"> 6. Проведение правового мониторинга нормативных правовых актов</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Правовой мониторинг проводится аппаратом, районными исполнительными органами, акимами городов, поселков, села, сельских округов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42.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43.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44.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45.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46.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юридическим отделом аппарата.</w:t>
      </w:r>
      <w:r>
        <w:br/>
      </w:r>
      <w:r>
        <w:rPr>
          <w:rFonts w:ascii="Times New Roman"/>
          <w:b w:val="false"/>
          <w:i w:val="false"/>
          <w:color w:val="000000"/>
          <w:sz w:val="28"/>
        </w:rPr>
        <w:t>
      47. Приказом руководителя аппарата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соответствующие исполнительные органы совместно с соответствующим отделом аппарата.</w:t>
      </w:r>
      <w:r>
        <w:br/>
      </w:r>
      <w:r>
        <w:rPr>
          <w:rFonts w:ascii="Times New Roman"/>
          <w:b w:val="false"/>
          <w:i w:val="false"/>
          <w:color w:val="000000"/>
          <w:sz w:val="28"/>
        </w:rPr>
        <w:t xml:space="preserve">
      48.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49. До первого числа последнего месяца полугодия (до 1 июня и 1 декабря) исполнительные органы представляют в юридический отдел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50. Юридический отдел аппарата анализирует полученную информацию и предложения и совместно с исполнительными органами принимает меры,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51. Для обеспечения полноты проведения правового мониторинга нормативных правовых актов, юридический отдел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xml:space="preserve">
      52. По итогам проведенной работы юридический отдел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