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d7c8" w14:textId="3f6d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Мактааральского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4 марта 2016 года № 196. Зарегистрировано Департаментом юстиции Южно-Казахстанской области 7 апреля 2016 года № 3699. Утратило силу Постановлением акимата Мактааральского района Южно-Казахстанской области от 11 апреля 2017 года №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11.04.2017 № 350 (вводиться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Мактааральского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Мактааральского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Мактааральского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Мактааральского района Маханбетова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районного бюджета и административных государственных служащих аппарата акима Мактааральского района корпуса "Б"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Мактааральского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Мактааральского района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города, поселка, сельских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Республики Казахстан 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