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d0b4" w14:textId="35b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14 июля 2016 года № 6/38. Зарегистрировано Департаментом юстиции Южно-Казахстанской области 2 августа 2016 года № 3814. Утратило силу решением Байдибекского районного маслихата Туркестанской области от 25 февраля 2020 года № 47/294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25.02.2020 № 47/294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Байдибекский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Байдибекского района, постоянно проживающим на территории соответствующей административно-территориальной единицы.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Байдибекского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(День вывода Советских войск из Афганистана) -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(Международный женский день) - 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(День Победы) - участникам и инвалидам Великой Отечественной войны в размере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и проходившим воинскую службу в тылу, единовременно 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(Международный день действий против ядерных испытаний) - гражданам, пострадавшим вследствие ядерных испытаний на Семипалатинском испытательном ядерном полигоне, единовременно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новогодний праздник - детям-инвалидам, единовременно в размере 3 месячных расчетных показателей.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инвалидам, требующим социального ухода, в области социальной защиты населения в условиях оказания социальной помощи на дому единовременно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престарелым, инвалидам единовременно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подписки в изданиях - участникам и инвалидам Великой Отечественной войны единовременно в размере 3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пожилым лицам, старше 80-ти лет, нуждающихся в уходе, для возмещения расходов связанных с проездом, ежемесячно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и лицам, приравненных к ним, пенсионерам и инвалидам для получения направлений в санаторно-курортное лечение, единовременно,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семьям,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детям-инвалидам, обучающимся и воспитывающимся на дому, ежемесячно,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гражданам, больным заразной формой туберкулеза ежемесячно в размере 10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семьям, с месячным среднедушевым доходом ниже черты бедности, на покупку крупного рогатого скота, единовременно, в размере 70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услуг, что повлекло вред их здоровью, ежемесячно, в размере до 21,9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оказания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 и выплачивается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оказывается, по списку, утверждаемому акиматом Байдибекского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Правительстива Республики Казахстан от 21 мая 2013 года № 504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Байдибекского района на текущий финансовый год.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Основания для прекращения и возврата предоставляемой социальной помощи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4915"/>
        <w:gridCol w:w="3425"/>
        <w:gridCol w:w="193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 Дата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 xml:space="preserve">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обратился за социальной помощью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197"/>
        <w:gridCol w:w="676"/>
        <w:gridCol w:w="1197"/>
        <w:gridCol w:w="2151"/>
        <w:gridCol w:w="676"/>
        <w:gridCol w:w="4758"/>
        <w:gridCol w:w="67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инвалидов Великой Отечественной войны, приравненных к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пенсионеров, пожилых лиц, старше 80-ти лет, лиц, имеющих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значимые заболевания (злокачественные новообразования, туберкулез,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вирус иммунодефицита человека), инвалидов, детей-инвалидов 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  <w:r>
        <w:rPr>
          <w:rFonts w:ascii="Times New Roman"/>
          <w:b w:val="false"/>
          <w:i w:val="false"/>
          <w:color w:val="000000"/>
          <w:sz w:val="28"/>
        </w:rPr>
        <w:t>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жилье, служебное жилье, жилой кооператив, индивидуальный жилой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иное - указать):___________________________________________________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 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 хозяйстве (приусадебный участок, скот и птица), дачном 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Наличие: автотранспорта (марка, год выпуска, правоустанавливающий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заявленные доходы от его эксплуатации)_________________________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иного жилья, кроме занимаемого в настоящее время,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обувью: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проведенгия обследования отказываюсь ________________Ф.И.О. и подпись заявителя (или одного из членов семьи),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положенгия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 , отсутствии необьходимости)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_________штук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"____"_______________20__г.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_____________________________________Ф.И.О., должность, подпись работника, акима поселка, сельского округа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