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db5d" w14:textId="7c7d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17 марта 2016 года № 58/450-5с. Зарегистрировано Департаментом юстиции Южно-Казахстанской области 30 марта 2016 года № 3669. Утратило силу решением маслихата города Шымкент от 11 декабря 2019 года № 58/508-6с</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Шымкент от 11.12.2019 № 58/508-6с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городе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Шымкентского городского</w:t>
            </w:r>
            <w:r>
              <w:br/>
            </w:r>
            <w:r>
              <w:rPr>
                <w:rFonts w:ascii="Times New Roman"/>
                <w:b w:val="false"/>
                <w:i w:val="false"/>
                <w:color w:val="000000"/>
                <w:sz w:val="20"/>
              </w:rPr>
              <w:t>маслихата от 17 марта 2016 года</w:t>
            </w:r>
            <w:r>
              <w:br/>
            </w:r>
            <w:r>
              <w:rPr>
                <w:rFonts w:ascii="Times New Roman"/>
                <w:b w:val="false"/>
                <w:i w:val="false"/>
                <w:color w:val="000000"/>
                <w:sz w:val="20"/>
              </w:rPr>
              <w:t>№ 58/450-5с</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городе Шымкент</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городе Шымкент.</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города Шымкент.</w:t>
      </w:r>
    </w:p>
    <w:bookmarkEnd w:id="8"/>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9"/>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Шымкент.</w:t>
      </w:r>
    </w:p>
    <w:bookmarkStart w:name="z12" w:id="10"/>
    <w:p>
      <w:pPr>
        <w:spacing w:after="0"/>
        <w:ind w:left="0"/>
        <w:jc w:val="both"/>
      </w:pPr>
      <w:r>
        <w:rPr>
          <w:rFonts w:ascii="Times New Roman"/>
          <w:b w:val="false"/>
          <w:i w:val="false"/>
          <w:color w:val="000000"/>
          <w:sz w:val="28"/>
        </w:rPr>
        <w:t>
      5. Акимат города Шымкент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1"/>
    <w:p>
      <w:pPr>
        <w:spacing w:after="0"/>
        <w:ind w:left="0"/>
        <w:jc w:val="both"/>
      </w:pPr>
      <w:r>
        <w:rPr>
          <w:rFonts w:ascii="Times New Roman"/>
          <w:b w:val="false"/>
          <w:i w:val="false"/>
          <w:color w:val="000000"/>
          <w:sz w:val="28"/>
        </w:rPr>
        <w:t>
      В таких случаях акиматом города Шымкент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4" w:id="12"/>
    <w:p>
      <w:pPr>
        <w:spacing w:after="0"/>
        <w:ind w:left="0"/>
        <w:jc w:val="both"/>
      </w:pPr>
      <w:r>
        <w:rPr>
          <w:rFonts w:ascii="Times New Roman"/>
          <w:b w:val="false"/>
          <w:i w:val="false"/>
          <w:color w:val="000000"/>
          <w:sz w:val="28"/>
        </w:rPr>
        <w:t>
      7. Акиматом города Шымкент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2"/>
    <w:bookmarkStart w:name="z15" w:id="13"/>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6" w:id="14"/>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4"/>
    <w:bookmarkStart w:name="z17" w:id="15"/>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5"/>
    <w:bookmarkStart w:name="z18" w:id="16"/>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6"/>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микрорайона (жилого массива);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города Шымкент;</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19" w:id="17"/>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13. Акимат города Шымкент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8"/>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1" w:id="19"/>
    <w:p>
      <w:pPr>
        <w:spacing w:after="0"/>
        <w:ind w:left="0"/>
        <w:jc w:val="both"/>
      </w:pPr>
      <w:r>
        <w:rPr>
          <w:rFonts w:ascii="Times New Roman"/>
          <w:b w:val="false"/>
          <w:i w:val="false"/>
          <w:color w:val="000000"/>
          <w:sz w:val="28"/>
        </w:rPr>
        <w:t>
      14. Местом проведения собраний, митингов в городе Шымкент определить:</w:t>
      </w:r>
    </w:p>
    <w:bookmarkEnd w:id="19"/>
    <w:p>
      <w:pPr>
        <w:spacing w:after="0"/>
        <w:ind w:left="0"/>
        <w:jc w:val="both"/>
      </w:pPr>
      <w:r>
        <w:rPr>
          <w:rFonts w:ascii="Times New Roman"/>
          <w:b w:val="false"/>
          <w:i w:val="false"/>
          <w:color w:val="000000"/>
          <w:sz w:val="28"/>
        </w:rPr>
        <w:t>
      1) Площадь перед Мемориалом "Даңқ" в парке Абая (улица Т.Рыскулова, б/н);</w:t>
      </w:r>
    </w:p>
    <w:p>
      <w:pPr>
        <w:spacing w:after="0"/>
        <w:ind w:left="0"/>
        <w:jc w:val="both"/>
      </w:pPr>
      <w:r>
        <w:rPr>
          <w:rFonts w:ascii="Times New Roman"/>
          <w:b w:val="false"/>
          <w:i w:val="false"/>
          <w:color w:val="000000"/>
          <w:sz w:val="28"/>
        </w:rPr>
        <w:t>
      2) Площадь перед акционерным обществом "Асбестоцемент комбинат" (улица Акназар хана, б/н);</w:t>
      </w:r>
    </w:p>
    <w:p>
      <w:pPr>
        <w:spacing w:after="0"/>
        <w:ind w:left="0"/>
        <w:jc w:val="both"/>
      </w:pPr>
      <w:r>
        <w:rPr>
          <w:rFonts w:ascii="Times New Roman"/>
          <w:b w:val="false"/>
          <w:i w:val="false"/>
          <w:color w:val="000000"/>
          <w:sz w:val="28"/>
        </w:rPr>
        <w:t>
      3) Площадь "Наурыз" (улица Байдибек би, б/н);</w:t>
      </w:r>
    </w:p>
    <w:p>
      <w:pPr>
        <w:spacing w:after="0"/>
        <w:ind w:left="0"/>
        <w:jc w:val="both"/>
      </w:pPr>
      <w:r>
        <w:rPr>
          <w:rFonts w:ascii="Times New Roman"/>
          <w:b w:val="false"/>
          <w:i w:val="false"/>
          <w:color w:val="000000"/>
          <w:sz w:val="28"/>
        </w:rPr>
        <w:t>
      4) Площадь в парке Металлургов (проспект Абая, б/н);</w:t>
      </w:r>
    </w:p>
    <w:p>
      <w:pPr>
        <w:spacing w:after="0"/>
        <w:ind w:left="0"/>
        <w:jc w:val="both"/>
      </w:pPr>
      <w:r>
        <w:rPr>
          <w:rFonts w:ascii="Times New Roman"/>
          <w:b w:val="false"/>
          <w:i w:val="false"/>
          <w:color w:val="000000"/>
          <w:sz w:val="28"/>
        </w:rPr>
        <w:t>
      5) Площадь перед дворца культуры "Казыгурт" в жилом массиве Тогус (улица Нефтеразведчиков, б/н);</w:t>
      </w:r>
    </w:p>
    <w:p>
      <w:pPr>
        <w:spacing w:after="0"/>
        <w:ind w:left="0"/>
        <w:jc w:val="both"/>
      </w:pPr>
      <w:r>
        <w:rPr>
          <w:rFonts w:ascii="Times New Roman"/>
          <w:b w:val="false"/>
          <w:i w:val="false"/>
          <w:color w:val="000000"/>
          <w:sz w:val="28"/>
        </w:rPr>
        <w:t>
      6) Площадь возле исторического комплекса "Мәртобе" в жилом массиве Сайрам (улица Эмир-Темир, б/н);</w:t>
      </w:r>
    </w:p>
    <w:bookmarkStart w:name="z22" w:id="20"/>
    <w:p>
      <w:pPr>
        <w:spacing w:after="0"/>
        <w:ind w:left="0"/>
        <w:jc w:val="both"/>
      </w:pPr>
      <w:r>
        <w:rPr>
          <w:rFonts w:ascii="Times New Roman"/>
          <w:b w:val="false"/>
          <w:i w:val="false"/>
          <w:color w:val="000000"/>
          <w:sz w:val="28"/>
        </w:rPr>
        <w:t>
      15. Места, определенные акиматом города Шымкент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0"/>
    <w:p>
      <w:pPr>
        <w:spacing w:after="0"/>
        <w:ind w:left="0"/>
        <w:jc w:val="both"/>
      </w:pPr>
      <w:r>
        <w:rPr>
          <w:rFonts w:ascii="Times New Roman"/>
          <w:b w:val="false"/>
          <w:i w:val="false"/>
          <w:color w:val="000000"/>
          <w:sz w:val="28"/>
        </w:rPr>
        <w:t>
      Акимат города Шымкент должен обеспечить уборку и очистку этих территории.</w:t>
      </w:r>
    </w:p>
    <w:bookmarkStart w:name="z23" w:id="21"/>
    <w:p>
      <w:pPr>
        <w:spacing w:after="0"/>
        <w:ind w:left="0"/>
        <w:jc w:val="both"/>
      </w:pPr>
      <w:r>
        <w:rPr>
          <w:rFonts w:ascii="Times New Roman"/>
          <w:b w:val="false"/>
          <w:i w:val="false"/>
          <w:color w:val="000000"/>
          <w:sz w:val="28"/>
        </w:rPr>
        <w:t>
      16. Местом проведения шествий и демонстраций в городе Шымкент определить следующие маршруты: город Шымкент, улица Т.Отегенова (между улицами Т.Рыскулова и У.Аргынбекова).</w:t>
      </w:r>
    </w:p>
    <w:bookmarkEnd w:id="21"/>
    <w:bookmarkStart w:name="z24" w:id="22"/>
    <w:p>
      <w:pPr>
        <w:spacing w:after="0"/>
        <w:ind w:left="0"/>
        <w:jc w:val="both"/>
      </w:pPr>
      <w:r>
        <w:rPr>
          <w:rFonts w:ascii="Times New Roman"/>
          <w:b w:val="false"/>
          <w:i w:val="false"/>
          <w:color w:val="000000"/>
          <w:sz w:val="28"/>
        </w:rPr>
        <w:t>
      17. При пикетировании разрешается:</w:t>
      </w:r>
    </w:p>
    <w:bookmarkEnd w:id="22"/>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5" w:id="23"/>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города Шымкент.</w:t>
      </w:r>
    </w:p>
    <w:bookmarkEnd w:id="23"/>
    <w:bookmarkStart w:name="z26" w:id="24"/>
    <w:p>
      <w:pPr>
        <w:spacing w:after="0"/>
        <w:ind w:left="0"/>
        <w:jc w:val="both"/>
      </w:pPr>
      <w:r>
        <w:rPr>
          <w:rFonts w:ascii="Times New Roman"/>
          <w:b w:val="false"/>
          <w:i w:val="false"/>
          <w:color w:val="000000"/>
          <w:sz w:val="28"/>
        </w:rPr>
        <w:t>
      19. Акимат города Шымкент может разрешить проведение в один и тот же день и время на одном и том же объекте не более 3 одиночных пикетов.</w:t>
      </w:r>
    </w:p>
    <w:bookmarkEnd w:id="24"/>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7" w:id="25"/>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города Шымкент,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5"/>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города Шымкент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8" w:id="2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6"/>
    <w:bookmarkStart w:name="z29" w:id="2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0" w:id="28"/>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