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01cd" w14:textId="5ef0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28 октября 2016 года N 28. Зарегистрировано Департаментом юстиции Северо-Казахстанской области 25 ноября 2016 года N 3943.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января 2014 года № 158 (зарегистрировано в Реестре государственной регистрации нормативных правовых актов под № 2551 от 12 февраля 2014 года, опубликовано 21 февраля 2014 года в районной газете "Тайынша таңы", 21 февраля 2014 года в районной газете "Тайыншинские вести")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указанных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указанных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указанных в приложении 1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 xml:space="preserve">VIII сессии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Кахабаев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28 октября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28 октября 2016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Тайыншинского района Северо-Казахстанской области</w:t>
            </w:r>
          </w:p>
        </w:tc>
      </w:tr>
    </w:tbl>
    <w:bookmarkStart w:name="z21" w:id="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7"/>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w:t>
            </w:r>
            <w:r>
              <w:br/>
            </w:r>
            <w:r>
              <w:rPr>
                <w:rFonts w:ascii="Times New Roman"/>
                <w:b w:val="false"/>
                <w:i w:val="false"/>
                <w:color w:val="000000"/>
                <w:sz w:val="20"/>
              </w:rPr>
              <w:t>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