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a407" w14:textId="3b0a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20 мая 2016 года N 13. Зарегистрировано Департаментом юстиции Северо-Казахстанской области 24 июня 2016 года N 3789.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января 2014 года № 158 (зарегистрировано в Реестре государственной регистрации нормативных правовых актов под № 2551 от 12 февраля 2014 года опубликовано 21 февраля 2014 года в районной газете "Тайынша таңы", 21 февраля 2014 года в районной газете "Тайыншинские вести)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IIІ сессии маслихата</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20 мая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20 мая 2016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17 января 2014 года № 158</w:t>
            </w:r>
          </w:p>
        </w:tc>
      </w:tr>
    </w:tbl>
    <w:bookmarkStart w:name="z1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21 января 2001 года "О местном государственном управлении и самоуправлении в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Департамент "Государственный центр выплаты пенсий" - филиал Некоммерческого Акционерного общества" Государственная корпорация "Правительство для граждан" по Северо-Казахстанской области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8) уполномоченный орган – государственное учреждение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города Тайынша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xml:space="preserve">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Тайыншинского района Северо-Казахстанской области через государственное учреждение "Отдел занятости и социальных программ Тайыншинского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 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5 (пяти) месячных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полуторакратного размера прожиточного минимума, в размере 60 (шестидесяти) минимальных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13. Социальная помощь по основанию, указанного в подпункте 15) приложения 3 к настоящим Правилам предоставляется в размере стоимости услуги, согласно предоставленной счет-фактуры (за исключением зубопротезирования из металлокерамзитов и драгоценных металлов), один раз в 3 (три) года без учета доходов, в порядке очередности (с 1 января 2017 года).</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без учета доходов, в порядке очередности (с 1 января 2017 года).</w:t>
      </w:r>
      <w:r>
        <w:br/>
      </w:r>
      <w:r>
        <w:rPr>
          <w:rFonts w:ascii="Times New Roman"/>
          <w:b w:val="false"/>
          <w:i w:val="false"/>
          <w:color w:val="000000"/>
          <w:sz w:val="28"/>
        </w:rPr>
        <w:t>
      </w:t>
      </w:r>
      <w:r>
        <w:rPr>
          <w:rFonts w:ascii="Times New Roman"/>
          <w:b w:val="false"/>
          <w:i w:val="false"/>
          <w:color w:val="000000"/>
          <w:sz w:val="28"/>
        </w:rPr>
        <w:t>15.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Социальная помощь оказывается указанным лицам, если они не находятся на полном государственном обеспечении.</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18) приложения 3 к настоящим Правилам предоставляется ежеквартально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указанного в подпункте 19) приложения 3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20) приложения 3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 в порядке очередности (с 1 января 2017 года).</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Социальная помощь к памятным датам и праздничным дням оказывается по списку, утверждаемому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3) сведения о составе лица (семьи) согласно приложению 1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и 3 к Типовым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30. Социальная помощь предоставляется не позднее шести месяцев с момента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Тайыншиского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Заключительное положение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85" w:id="6"/>
    <w:p>
      <w:pPr>
        <w:spacing w:after="0"/>
        <w:ind w:left="0"/>
        <w:jc w:val="left"/>
      </w:pPr>
      <w:r>
        <w:rPr>
          <w:rFonts w:ascii="Times New Roman"/>
          <w:b/>
          <w:i w:val="false"/>
          <w:color w:val="000000"/>
        </w:rPr>
        <w:t xml:space="preserve"> Перечень памятных дат и праздничных дней, категорий получателей, а также кратность оказания социальной помощи устанавливается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263"/>
        <w:gridCol w:w="643"/>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w:t>
            </w:r>
            <w:r>
              <w:br/>
            </w:r>
            <w:r>
              <w:rPr>
                <w:rFonts w:ascii="Times New Roman"/>
                <w:b w:val="false"/>
                <w:i w:val="false"/>
                <w:color w:val="000000"/>
                <w:sz w:val="20"/>
              </w:rPr>
              <w:t>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27"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4110"/>
        <w:gridCol w:w="2914"/>
        <w:gridCol w:w="440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минимальных расчетных показателей, единовременно</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31" w:id="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5)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6)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7)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8)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9)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10)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11)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 xml:space="preserve"> 12)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xml:space="preserve"> 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xml:space="preserve"> 15)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(за исключением зубопротезирования из металлокерамзитов, и драгоценных металлов);</w:t>
      </w:r>
      <w:r>
        <w:br/>
      </w:r>
      <w:r>
        <w:rPr>
          <w:rFonts w:ascii="Times New Roman"/>
          <w:b w:val="false"/>
          <w:i w:val="false"/>
          <w:color w:val="000000"/>
          <w:sz w:val="28"/>
        </w:rPr>
        <w:t>
      </w:t>
      </w:r>
      <w:r>
        <w:rPr>
          <w:rFonts w:ascii="Times New Roman"/>
          <w:b w:val="false"/>
          <w:i w:val="false"/>
          <w:color w:val="000000"/>
          <w:sz w:val="28"/>
        </w:rPr>
        <w:t xml:space="preserve"> 16)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 xml:space="preserve"> 18)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 xml:space="preserve"> 19) малообеспеченные семьи, обучающие детей в органах высшего профессионального образования, на очной форме обучения расположенных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проезде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