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a67a1" w14:textId="32a67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решение маслихата района имени Габита Мусрепова от 30 октября 2015 года № 38-7 "Об утверждении Правил оказания социальной помощи, установления размеров и определения перечня отдельных категорий нуждающихся граждан в районе имени Габита Мусрепова"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района имени Габита Мусрепова Северо-Казахстанской области от 21 декабря 2016 года № 8-3. Зарегистрировано Департаментом юстиции Северо-Казахстанской области 10 января 2017 года № 4010. Утратило силу решением маслихата района имени Габита Мусрепова Северо-Казахстанской области от 03 марта 2017 года № 10-3</w:t>
      </w:r>
    </w:p>
    <w:p>
      <w:pPr>
        <w:spacing w:after="0"/>
        <w:ind w:left="0"/>
        <w:jc w:val="left"/>
      </w:pPr>
      <w:r>
        <w:rPr>
          <w:rFonts w:ascii="Times New Roman"/>
          <w:b w:val="false"/>
          <w:i w:val="false"/>
          <w:color w:val="ff0000"/>
          <w:sz w:val="28"/>
        </w:rPr>
        <w:t xml:space="preserve">      Сноска. Утратило силу решением маслихата района имени Габита Мусрепова Северо-Казахстанской области от 03.03.2017 </w:t>
      </w:r>
      <w:r>
        <w:rPr>
          <w:rFonts w:ascii="Times New Roman"/>
          <w:b w:val="false"/>
          <w:i w:val="false"/>
          <w:color w:val="ff0000"/>
          <w:sz w:val="28"/>
        </w:rPr>
        <w:t>№ 10-3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 Республики Казахстан от 6 апреля 2016 года "О правовых актах", маслихат района имени Габита Мусрепова Северо-Казахстанской области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района имени Габита Мусрепова Северо-Казахстанской области от 30 октября 2015 года № 38-7 "Об утверждении Правил оказания социальной помощи, установления размеров и определения перечня отдельных категорий нуждающихся граждан в районе имени Габита Мусрепова" (зарегистрировано в Реестре государственной регистрации нормативных правовых актов под № 3487, опубликовано в информационно–правовой системе нормативных правовых актов Республики Казахстан "Әділет") в Правила оказания социальной помощи, установления размеров и определения перечня отдельных категорий нуждающихся граждан в районе имени Габита Мусрепова (далее - Правила) следующие изменения и дополнение:</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Правил изложить в следующей редакции:</w:t>
      </w:r>
      <w:r>
        <w:br/>
      </w:r>
      <w:r>
        <w:rPr>
          <w:rFonts w:ascii="Times New Roman"/>
          <w:b w:val="false"/>
          <w:i w:val="false"/>
          <w:color w:val="000000"/>
          <w:sz w:val="28"/>
        </w:rPr>
        <w:t>
      </w:t>
      </w:r>
      <w:r>
        <w:rPr>
          <w:rFonts w:ascii="Times New Roman"/>
          <w:b w:val="false"/>
          <w:i w:val="false"/>
          <w:color w:val="000000"/>
          <w:sz w:val="28"/>
        </w:rPr>
        <w:t>"2. Основные термины и понятия, которые используются в настоящих Правилах:</w:t>
      </w:r>
      <w:r>
        <w:br/>
      </w:r>
      <w:r>
        <w:rPr>
          <w:rFonts w:ascii="Times New Roman"/>
          <w:b w:val="false"/>
          <w:i w:val="false"/>
          <w:color w:val="000000"/>
          <w:sz w:val="28"/>
        </w:rPr>
        <w:t>
      </w:t>
      </w:r>
      <w:r>
        <w:rPr>
          <w:rFonts w:ascii="Times New Roman"/>
          <w:b w:val="false"/>
          <w:i w:val="false"/>
          <w:color w:val="000000"/>
          <w:sz w:val="28"/>
        </w:rPr>
        <w:t>1) Государственная корпорация "Правительство для граждан" некоммерческое акционерное общество (далее – уполномоченная организация)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а также обеспечения оказания государственных услуг в электронной форме;</w:t>
      </w:r>
      <w:r>
        <w:br/>
      </w:r>
      <w:r>
        <w:rPr>
          <w:rFonts w:ascii="Times New Roman"/>
          <w:b w:val="false"/>
          <w:i w:val="false"/>
          <w:color w:val="000000"/>
          <w:sz w:val="28"/>
        </w:rPr>
        <w:t>
      </w:t>
      </w:r>
      <w:r>
        <w:rPr>
          <w:rFonts w:ascii="Times New Roman"/>
          <w:b w:val="false"/>
          <w:i w:val="false"/>
          <w:color w:val="000000"/>
          <w:sz w:val="28"/>
        </w:rPr>
        <w:t>2) специальная комиссия – комиссия, создаваемая решением акима района по рассмотрению заявления лица (семьи), претендующего на оказание социальной помощи в связи с наступлением трудной жизненной ситуации;</w:t>
      </w:r>
      <w:r>
        <w:br/>
      </w:r>
      <w:r>
        <w:rPr>
          <w:rFonts w:ascii="Times New Roman"/>
          <w:b w:val="false"/>
          <w:i w:val="false"/>
          <w:color w:val="000000"/>
          <w:sz w:val="28"/>
        </w:rPr>
        <w:t>
      </w:t>
      </w:r>
      <w:r>
        <w:rPr>
          <w:rFonts w:ascii="Times New Roman"/>
          <w:b w:val="false"/>
          <w:i w:val="false"/>
          <w:color w:val="000000"/>
          <w:sz w:val="28"/>
        </w:rPr>
        <w:t>3) памятные даты – события, имеющие общенародное историческое, духовное и культурное значение и оказавшие влияние на ход истории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4) меры по социальной адаптации – меры, предоставляемые в целях приспособления к условиям социальной среды в виде мер социальной реабилитации инвалидов, определенные </w:t>
      </w:r>
      <w:r>
        <w:rPr>
          <w:rFonts w:ascii="Times New Roman"/>
          <w:b w:val="false"/>
          <w:i w:val="false"/>
          <w:color w:val="000000"/>
          <w:sz w:val="28"/>
        </w:rPr>
        <w:t>статьей 21</w:t>
      </w:r>
      <w:r>
        <w:rPr>
          <w:rFonts w:ascii="Times New Roman"/>
          <w:b w:val="false"/>
          <w:i w:val="false"/>
          <w:color w:val="000000"/>
          <w:sz w:val="28"/>
        </w:rPr>
        <w:t xml:space="preserve"> Закона Республики Казахстан от 13 апреля 2005 года "О социальной защите инвалидов", а также иных мер государственной поддержки в порядке, предусмотренном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5) социальный контракт – соглашение между физическим лицом из числа безработных, самостоятельно занятых и малообеспеченных граждан Республики Казахстан, участвующих в государственных мерах содействия занятости, и центром занятости населения, определяющее права и обязанности сторон;</w:t>
      </w:r>
      <w:r>
        <w:br/>
      </w:r>
      <w:r>
        <w:rPr>
          <w:rFonts w:ascii="Times New Roman"/>
          <w:b w:val="false"/>
          <w:i w:val="false"/>
          <w:color w:val="000000"/>
          <w:sz w:val="28"/>
        </w:rPr>
        <w:t>
      </w:t>
      </w:r>
      <w:r>
        <w:rPr>
          <w:rFonts w:ascii="Times New Roman"/>
          <w:b w:val="false"/>
          <w:i w:val="false"/>
          <w:color w:val="000000"/>
          <w:sz w:val="28"/>
        </w:rPr>
        <w:t>6)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в области;</w:t>
      </w:r>
      <w:r>
        <w:br/>
      </w:r>
      <w:r>
        <w:rPr>
          <w:rFonts w:ascii="Times New Roman"/>
          <w:b w:val="false"/>
          <w:i w:val="false"/>
          <w:color w:val="000000"/>
          <w:sz w:val="28"/>
        </w:rPr>
        <w:t>
      </w:t>
      </w:r>
      <w:r>
        <w:rPr>
          <w:rFonts w:ascii="Times New Roman"/>
          <w:b w:val="false"/>
          <w:i w:val="false"/>
          <w:color w:val="000000"/>
          <w:sz w:val="28"/>
        </w:rPr>
        <w:t>7) активные меры содействия занятости – мера государственной поддержки граждан Республики Казахстан и оралманов из числа самостоятельно занятого, безработного и малообеспеченного населения, осуществляемые государственным органом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8) праздничные дни – дни национальных и государственных праздников Республики Казахстан;</w:t>
      </w:r>
      <w:r>
        <w:br/>
      </w:r>
      <w:r>
        <w:rPr>
          <w:rFonts w:ascii="Times New Roman"/>
          <w:b w:val="false"/>
          <w:i w:val="false"/>
          <w:color w:val="000000"/>
          <w:sz w:val="28"/>
        </w:rPr>
        <w:t>
      </w:t>
      </w:r>
      <w:r>
        <w:rPr>
          <w:rFonts w:ascii="Times New Roman"/>
          <w:b w:val="false"/>
          <w:i w:val="false"/>
          <w:color w:val="000000"/>
          <w:sz w:val="28"/>
        </w:rPr>
        <w:t>9) индивидуальный план помощи семье (далее – индивидуальный план) – план мероприятий по содействию занятости и (или) социальной адаптации членов семьи, составленный уполномоченным органом совместно с заявителем и (или) членами его (ее) семьи.</w:t>
      </w:r>
      <w:r>
        <w:br/>
      </w:r>
      <w:r>
        <w:rPr>
          <w:rFonts w:ascii="Times New Roman"/>
          <w:b w:val="false"/>
          <w:i w:val="false"/>
          <w:color w:val="000000"/>
          <w:sz w:val="28"/>
        </w:rPr>
        <w:t>
      </w:t>
      </w:r>
      <w:r>
        <w:rPr>
          <w:rFonts w:ascii="Times New Roman"/>
          <w:b w:val="false"/>
          <w:i w:val="false"/>
          <w:color w:val="000000"/>
          <w:sz w:val="28"/>
        </w:rPr>
        <w:t>10) среднедушевой доход семьи (гражданина) – доля совокупного дохода семьи, приходящаяся на каждого члена семьи в месяц;</w:t>
      </w:r>
      <w:r>
        <w:br/>
      </w:r>
      <w:r>
        <w:rPr>
          <w:rFonts w:ascii="Times New Roman"/>
          <w:b w:val="false"/>
          <w:i w:val="false"/>
          <w:color w:val="000000"/>
          <w:sz w:val="28"/>
        </w:rPr>
        <w:t>
      </w:t>
      </w:r>
      <w:r>
        <w:rPr>
          <w:rFonts w:ascii="Times New Roman"/>
          <w:b w:val="false"/>
          <w:i w:val="false"/>
          <w:color w:val="000000"/>
          <w:sz w:val="28"/>
        </w:rPr>
        <w:t>11) социальный контракт активизации семьи – соглашение между трудоспособным физическим лицом, выступающим от имени семьи для участия в проекте "Өрлеу", и уполномоченным органом, определяющее права и обязанности сторон;</w:t>
      </w:r>
      <w:r>
        <w:br/>
      </w:r>
      <w:r>
        <w:rPr>
          <w:rFonts w:ascii="Times New Roman"/>
          <w:b w:val="false"/>
          <w:i w:val="false"/>
          <w:color w:val="000000"/>
          <w:sz w:val="28"/>
        </w:rPr>
        <w:t>
      </w:t>
      </w:r>
      <w:r>
        <w:rPr>
          <w:rFonts w:ascii="Times New Roman"/>
          <w:b w:val="false"/>
          <w:i w:val="false"/>
          <w:color w:val="000000"/>
          <w:sz w:val="28"/>
        </w:rPr>
        <w:t>12) трудная жизненная ситуация – ситуация, объективно нарушающая жизнедеятельность гражданина, которую он не может преодолеть самостоятельно;</w:t>
      </w:r>
      <w:r>
        <w:br/>
      </w:r>
      <w:r>
        <w:rPr>
          <w:rFonts w:ascii="Times New Roman"/>
          <w:b w:val="false"/>
          <w:i w:val="false"/>
          <w:color w:val="000000"/>
          <w:sz w:val="28"/>
        </w:rPr>
        <w:t>
      </w:t>
      </w:r>
      <w:r>
        <w:rPr>
          <w:rFonts w:ascii="Times New Roman"/>
          <w:b w:val="false"/>
          <w:i w:val="false"/>
          <w:color w:val="000000"/>
          <w:sz w:val="28"/>
        </w:rPr>
        <w:t>13) уполномоченный орган – коммунальное государственное учреждение "Отдел занятости и социальных программ акимата района имени Габита Мусрепова Северо-Казахстанской области";</w:t>
      </w:r>
      <w:r>
        <w:br/>
      </w:r>
      <w:r>
        <w:rPr>
          <w:rFonts w:ascii="Times New Roman"/>
          <w:b w:val="false"/>
          <w:i w:val="false"/>
          <w:color w:val="000000"/>
          <w:sz w:val="28"/>
        </w:rPr>
        <w:t>
      </w:t>
      </w:r>
      <w:r>
        <w:rPr>
          <w:rFonts w:ascii="Times New Roman"/>
          <w:b w:val="false"/>
          <w:i w:val="false"/>
          <w:color w:val="000000"/>
          <w:sz w:val="28"/>
        </w:rPr>
        <w:t>14) участковая комиссия – комиссия, создаваемая решением акима сельского округа для проведения обследования материального положения лиц (семей), обратившихся за социальной помощью, и подготовки заключений;</w:t>
      </w:r>
      <w:r>
        <w:br/>
      </w:r>
      <w:r>
        <w:rPr>
          <w:rFonts w:ascii="Times New Roman"/>
          <w:b w:val="false"/>
          <w:i w:val="false"/>
          <w:color w:val="000000"/>
          <w:sz w:val="28"/>
        </w:rPr>
        <w:t>
      </w:t>
      </w:r>
      <w:r>
        <w:rPr>
          <w:rFonts w:ascii="Times New Roman"/>
          <w:b w:val="false"/>
          <w:i w:val="false"/>
          <w:color w:val="000000"/>
          <w:sz w:val="28"/>
        </w:rPr>
        <w:t>15) предельный размер – утвержденный максимальный размер социальной помощи.";</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36</w:t>
      </w:r>
      <w:r>
        <w:rPr>
          <w:rFonts w:ascii="Times New Roman"/>
          <w:b w:val="false"/>
          <w:i w:val="false"/>
          <w:color w:val="000000"/>
          <w:sz w:val="28"/>
        </w:rPr>
        <w:t xml:space="preserve"> Правил изложить в следующей редакции:</w:t>
      </w:r>
      <w:r>
        <w:br/>
      </w:r>
      <w:r>
        <w:rPr>
          <w:rFonts w:ascii="Times New Roman"/>
          <w:b w:val="false"/>
          <w:i w:val="false"/>
          <w:color w:val="000000"/>
          <w:sz w:val="28"/>
        </w:rPr>
        <w:t>
      </w:t>
      </w:r>
      <w:r>
        <w:rPr>
          <w:rFonts w:ascii="Times New Roman"/>
          <w:b w:val="false"/>
          <w:i w:val="false"/>
          <w:color w:val="000000"/>
          <w:sz w:val="28"/>
        </w:rPr>
        <w:t>"36. После определения права на обусловленную социальную помощь на основе социального контракта уполномоченный орган приглашает заявителя и (или) членов его семьи для разработки индивидуального плана помощи семье и заключения социального контракта активизации семьи (далее – индивидуальный план), согласно приложениям 9-10 к настоящим Правилам.</w:t>
      </w:r>
      <w:r>
        <w:br/>
      </w:r>
      <w:r>
        <w:rPr>
          <w:rFonts w:ascii="Times New Roman"/>
          <w:b w:val="false"/>
          <w:i w:val="false"/>
          <w:color w:val="000000"/>
          <w:sz w:val="28"/>
        </w:rPr>
        <w:t>
      </w:t>
      </w:r>
      <w:r>
        <w:rPr>
          <w:rFonts w:ascii="Times New Roman"/>
          <w:b w:val="false"/>
          <w:i w:val="false"/>
          <w:color w:val="000000"/>
          <w:sz w:val="28"/>
        </w:rPr>
        <w:t xml:space="preserve">При этом претенденты из числа самозанятых, безработных, за исключением случаев, предусмотренных пунктом 38 настоящих Правил и инвалидов 1 и 2 группы, учащихся, студентов, слушателей, курсантов и магистрантов очной формы обучения, в течение одного рабочего дня направляются для участия в активных мерах содействия занятости в центр занятости либо предоставляют направления на иные меры содействия занятости, реализуемые за счет средств местного бюджета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апреля 2016 года "О занятости населения".";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Правилам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Правилам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r>
        <w:br/>
      </w:r>
      <w:r>
        <w:rPr>
          <w:rFonts w:ascii="Times New Roman"/>
          <w:b w:val="false"/>
          <w:i w:val="false"/>
          <w:color w:val="000000"/>
          <w:sz w:val="28"/>
        </w:rPr>
        <w:t>
      </w:t>
      </w:r>
      <w:r>
        <w:rPr>
          <w:rFonts w:ascii="Times New Roman"/>
          <w:b w:val="false"/>
          <w:i w:val="false"/>
          <w:color w:val="000000"/>
          <w:sz w:val="28"/>
        </w:rPr>
        <w:t xml:space="preserve">дополнить </w:t>
      </w:r>
      <w:r>
        <w:rPr>
          <w:rFonts w:ascii="Times New Roman"/>
          <w:b w:val="false"/>
          <w:i w:val="false"/>
          <w:color w:val="000000"/>
          <w:sz w:val="28"/>
        </w:rPr>
        <w:t>пунктом 15-1</w:t>
      </w:r>
      <w:r>
        <w:rPr>
          <w:rFonts w:ascii="Times New Roman"/>
          <w:b w:val="false"/>
          <w:i w:val="false"/>
          <w:color w:val="000000"/>
          <w:sz w:val="28"/>
        </w:rPr>
        <w:t xml:space="preserve"> следующего содержания:</w:t>
      </w:r>
      <w:r>
        <w:br/>
      </w:r>
      <w:r>
        <w:rPr>
          <w:rFonts w:ascii="Times New Roman"/>
          <w:b w:val="false"/>
          <w:i w:val="false"/>
          <w:color w:val="000000"/>
          <w:sz w:val="28"/>
        </w:rPr>
        <w:t>
      </w:t>
      </w:r>
      <w:r>
        <w:rPr>
          <w:rFonts w:ascii="Times New Roman"/>
          <w:b w:val="false"/>
          <w:i w:val="false"/>
          <w:color w:val="000000"/>
          <w:sz w:val="28"/>
        </w:rPr>
        <w:t>"15-1. Социальная помощь по основанию, указанного в подпункте 20) приложения 3 к настоящим Правилам предоставляется по необходимости в размере стоимости проезда, без учета доходов.";</w:t>
      </w:r>
      <w:r>
        <w:br/>
      </w:r>
      <w:r>
        <w:rPr>
          <w:rFonts w:ascii="Times New Roman"/>
          <w:b w:val="false"/>
          <w:i w:val="false"/>
          <w:color w:val="000000"/>
          <w:sz w:val="28"/>
        </w:rPr>
        <w:t>
      </w:t>
      </w:r>
      <w:r>
        <w:rPr>
          <w:rFonts w:ascii="Times New Roman"/>
          <w:b w:val="false"/>
          <w:i w:val="false"/>
          <w:color w:val="000000"/>
          <w:sz w:val="28"/>
        </w:rPr>
        <w:t>2.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Председатель VIII сессии </w:t>
            </w:r>
            <w:r>
              <w:br/>
            </w:r>
            <w:r>
              <w:rPr>
                <w:rFonts w:ascii="Times New Roman"/>
                <w:b w:val="false"/>
                <w:i/>
                <w:color w:val="000000"/>
                <w:sz w:val="20"/>
              </w:rPr>
              <w:t xml:space="preserve">маслихата района </w:t>
            </w:r>
            <w:r>
              <w:br/>
            </w:r>
            <w:r>
              <w:rPr>
                <w:rFonts w:ascii="Times New Roman"/>
                <w:b w:val="false"/>
                <w:i/>
                <w:color w:val="000000"/>
                <w:sz w:val="20"/>
              </w:rPr>
              <w:t xml:space="preserve">имени Габита Мусрепова </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Боровских</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Секретарь маслихата района</w:t>
            </w:r>
            <w:r>
              <w:br/>
            </w:r>
            <w:r>
              <w:rPr>
                <w:rFonts w:ascii="Times New Roman"/>
                <w:b w:val="false"/>
                <w:i/>
                <w:color w:val="000000"/>
                <w:sz w:val="20"/>
              </w:rPr>
              <w:t>имени Габита Мусрепова</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Адильбеков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"СОГЛАСОВАНО"</w:t>
            </w:r>
            <w:r>
              <w:br/>
            </w:r>
            <w:r>
              <w:rPr>
                <w:rFonts w:ascii="Times New Roman"/>
                <w:b w:val="false"/>
                <w:i/>
                <w:color w:val="000000"/>
                <w:sz w:val="20"/>
              </w:rPr>
              <w:t>Аким</w:t>
            </w:r>
            <w:r>
              <w:br/>
            </w:r>
            <w:r>
              <w:rPr>
                <w:rFonts w:ascii="Times New Roman"/>
                <w:b w:val="false"/>
                <w:i/>
                <w:color w:val="000000"/>
                <w:sz w:val="20"/>
              </w:rPr>
              <w:t>Северо-Казахстанской области</w:t>
            </w:r>
            <w:r>
              <w:br/>
            </w:r>
            <w:r>
              <w:rPr>
                <w:rFonts w:ascii="Times New Roman"/>
                <w:b w:val="false"/>
                <w:i/>
                <w:color w:val="000000"/>
                <w:sz w:val="20"/>
              </w:rPr>
              <w:t>2016 года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Султанов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1 к решению маслихата района имени Габита Мусрепова Северо-Казахстанской области от 21 декабря 2016 года № 8-3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 оказания социальной помощи, установления размеров и определения перечня отдельных категорий нуждающихся граждан района имени Габита Мусрепова Северо-Казахстанской области</w:t>
            </w:r>
          </w:p>
        </w:tc>
      </w:tr>
    </w:tbl>
    <w:bookmarkStart w:name="z36" w:id="0"/>
    <w:p>
      <w:pPr>
        <w:spacing w:after="0"/>
        <w:ind w:left="0"/>
        <w:jc w:val="left"/>
      </w:pPr>
      <w:r>
        <w:rPr>
          <w:rFonts w:ascii="Times New Roman"/>
          <w:b/>
          <w:i w:val="false"/>
          <w:color w:val="000000"/>
        </w:rPr>
        <w:t xml:space="preserve"> Перечень памятных дат, праздничных дней, категорий получателей, а также кратность и размер оказания социальной помощи</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
        <w:gridCol w:w="11321"/>
        <w:gridCol w:w="607"/>
      </w:tblGrid>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1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памятных дат, праздничных дней и категорий получателей социальной помощи</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Кратность и размер оказания социальной помощи</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февраля - "День вывода войск с территории Афганистана"</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Советских Социалистических Республик (включая военных специалистов и советников), которые в соответствии с решениями правительственных органов бывшего Союза Советских Социалистических Республик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Советских Социалистических Республик; рабочие и служащие, обслуживающие советский воинский контингент в Афганистане, получившие ранения, контузии или увечья, либо награжденные орденами и медалями бывшего Союза Советских Социалистических Республик за участие в обеспечении боевых действий.</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15 месячных расчетных показателей</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Военнослужащие, ставшие инвалидами вследствие ранения, контузии, увечья, полученные при защите бывшего Союза Советских Социалистических Республик,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военной службы в Афганистане или других государствах, в которых велись боевые действия.</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15 месячных расчетных показателей</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Рабочие и служащие соответствующих категорий, обслуживавшие действующие воинские контингенты других странах и ставшие инвалидами вследствие ранения, контузии, увечья либо заболевания, полученных в период ведения боевых действий.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15 месячных расчетных показателей</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15 месячных расчетных показателей</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Рабочие и служащие, направлявшиеся на работу в Афганистан в период с 1 декабря 1979 года по декабрь 1989 года и в другие страны, в которых велись боевые действия.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15 месячных расчетных показателей</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Рабочие и служащие Комитета государственной безопасности бывшего Союза Советских Социалистических Республик, временно находившихся на территории Афганистана и не входившие в состав ограниченного контингента советских войск.</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15 месячных расчетных показателей</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марта - "Международный женский день"</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Многодетные матери, награжденные подвесками "Алтын алка", "Күміс алка", орденами "Материнская Слава" I и II степени или ранее получивших звание "Мать-Героиня".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5 месячных расчетных показателей</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апреля – "День памяти аварии на Чернобыльской атомной электростанции"</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принимавшие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15 месячных расчетных показателей</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15 месячных расчетных показателей</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15 месячных расчетных показателей</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15 месячных расчетных показателей</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из числа участников ликвидации последствий катастрофы на Чернобыльской атомной электростанции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15 месячных расчетных показателей</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 мая - "День защитника Отечества"</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5 месячных расчетных показателей</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военнослужащих, погибших (умерших) при прохождении воинской службы в мирное время.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5 месячных расчетных показателей</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мая - "День Победы"</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Участники и инвалиды Великой Отечественной войны.</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50 месячных расчетных показателей</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Военнослужащие, а также лица начальствующего и рядового состава органов внутренних дел и государственной безопасности бывшего Союза Советских Социалистических Республик,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5 месячных расчетных показателей</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5 месячных расчетных показателей</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5 месячных расчетных показателей</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5 месячных расчетных показателей</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Работники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летноподъемного состава Главсевморпути, переведенные в период Великой Отечественной войны на положение военнослужащих и выполнявшие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5 месячных расчетных показателей</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Граждане, работающие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5 месячных расчетных показателей</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5 месячных расчетных показателей</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начальствующего и рядового состава органов внутренних дел и государственной безопасности бывшего Союза Советских Социалистических Республик, ставшие инвалидами вследствие ранения, контузии, увечья, полученных при исполнении служебных обязанностей, либо вследствие заболевания, связанного с прибыванием на фронте или выполнением служебных обязанностей в государствах, где велись боевые действия.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5 месячных расчетных показателей</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ставшие инвалидами вследствие ранения, контузии или увечья, полученных при исполнении служебных обязанностей в этих батальонах, взводах, отрядах.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5 месячных расчетных показателей</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5 месячных расчетных показателей</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5 месячных расчетных показателей</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5 месячных расчетных показателей</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мая - "День памяти жертв политических репрессий и голода"</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непосредственно подвергавшиеся политическим репрессиям на территории бывшего Союза Советских Социалистических Республик и в настоящее время являющихся гражданами Республики Казахстан.</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15 месячных расчетных показателей</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Дети жертв политических репрессий, находившиеся вместе с родителями или заменявшими их лицами в местах лишения свободы, в ссылке, высылке или на специальном 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родительского попечения.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3 месячных расчетных показателей</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августа - "День Конституции Республики Казахстан"</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которым назначены пенсии за особые заслуги перед Республикой Казахстан, пенсионеры, имеющие статус персонального пенсионера областного значения, почетные граждане области (города, района).</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10 месячных расчетных показателей</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решению маслихата района имени Габита Мусрепова Северо-Казахстанской области от 21 декабря 2016 года № 8-3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Правилам оказания социальной помощи, установления размеров и определения перечня отдельных категорий нуждающихся граждан района имени Габита Мусрепова </w:t>
            </w:r>
          </w:p>
        </w:tc>
      </w:tr>
    </w:tbl>
    <w:bookmarkStart w:name="z77" w:id="1"/>
    <w:p>
      <w:pPr>
        <w:spacing w:after="0"/>
        <w:ind w:left="0"/>
        <w:jc w:val="left"/>
      </w:pPr>
      <w:r>
        <w:rPr>
          <w:rFonts w:ascii="Times New Roman"/>
          <w:b/>
          <w:i w:val="false"/>
          <w:color w:val="000000"/>
        </w:rPr>
        <w:t xml:space="preserve"> Окончательный перечень оснований для отнесения граждан к категории нуждающихся и проведения обследований материально-бытового положения лица (семьи) при наступлении трудной жизненной ситуации </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сиротство;</w:t>
      </w:r>
      <w:r>
        <w:br/>
      </w:r>
      <w:r>
        <w:rPr>
          <w:rFonts w:ascii="Times New Roman"/>
          <w:b w:val="false"/>
          <w:i w:val="false"/>
          <w:color w:val="000000"/>
          <w:sz w:val="28"/>
        </w:rPr>
        <w:t>
      </w:t>
      </w:r>
      <w:r>
        <w:rPr>
          <w:rFonts w:ascii="Times New Roman"/>
          <w:b w:val="false"/>
          <w:i w:val="false"/>
          <w:color w:val="000000"/>
          <w:sz w:val="28"/>
        </w:rPr>
        <w:t>2) отсутствие родительского попечения;</w:t>
      </w:r>
      <w:r>
        <w:br/>
      </w:r>
      <w:r>
        <w:rPr>
          <w:rFonts w:ascii="Times New Roman"/>
          <w:b w:val="false"/>
          <w:i w:val="false"/>
          <w:color w:val="000000"/>
          <w:sz w:val="28"/>
        </w:rPr>
        <w:t>
      </w:t>
      </w:r>
      <w:r>
        <w:rPr>
          <w:rFonts w:ascii="Times New Roman"/>
          <w:b w:val="false"/>
          <w:i w:val="false"/>
          <w:color w:val="000000"/>
          <w:sz w:val="28"/>
        </w:rPr>
        <w:t>3) безнадзорность несовершеннолетних, в том числе с девиантным поведением;</w:t>
      </w:r>
      <w:r>
        <w:br/>
      </w:r>
      <w:r>
        <w:rPr>
          <w:rFonts w:ascii="Times New Roman"/>
          <w:b w:val="false"/>
          <w:i w:val="false"/>
          <w:color w:val="000000"/>
          <w:sz w:val="28"/>
        </w:rPr>
        <w:t>
      </w:t>
      </w:r>
      <w:r>
        <w:rPr>
          <w:rFonts w:ascii="Times New Roman"/>
          <w:b w:val="false"/>
          <w:i w:val="false"/>
          <w:color w:val="000000"/>
          <w:sz w:val="28"/>
        </w:rPr>
        <w:t>4) нахождение несовершеннолетних в организациях образования с особым режимом содержания;</w:t>
      </w:r>
      <w:r>
        <w:br/>
      </w:r>
      <w:r>
        <w:rPr>
          <w:rFonts w:ascii="Times New Roman"/>
          <w:b w:val="false"/>
          <w:i w:val="false"/>
          <w:color w:val="000000"/>
          <w:sz w:val="28"/>
        </w:rPr>
        <w:t>
      </w:t>
      </w:r>
      <w:r>
        <w:rPr>
          <w:rFonts w:ascii="Times New Roman"/>
          <w:b w:val="false"/>
          <w:i w:val="false"/>
          <w:color w:val="000000"/>
          <w:sz w:val="28"/>
        </w:rPr>
        <w:t>5) ограничение возможностей раннего психофизического развития детей от рождения до трех лет;</w:t>
      </w:r>
      <w:r>
        <w:br/>
      </w:r>
      <w:r>
        <w:rPr>
          <w:rFonts w:ascii="Times New Roman"/>
          <w:b w:val="false"/>
          <w:i w:val="false"/>
          <w:color w:val="000000"/>
          <w:sz w:val="28"/>
        </w:rPr>
        <w:t>
      </w:t>
      </w:r>
      <w:r>
        <w:rPr>
          <w:rFonts w:ascii="Times New Roman"/>
          <w:b w:val="false"/>
          <w:i w:val="false"/>
          <w:color w:val="000000"/>
          <w:sz w:val="28"/>
        </w:rPr>
        <w:t>6) стойкие нарушения функций организма, обусловленные физическими и (или) умственными возможностями;</w:t>
      </w:r>
      <w:r>
        <w:br/>
      </w:r>
      <w:r>
        <w:rPr>
          <w:rFonts w:ascii="Times New Roman"/>
          <w:b w:val="false"/>
          <w:i w:val="false"/>
          <w:color w:val="000000"/>
          <w:sz w:val="28"/>
        </w:rPr>
        <w:t>
      </w:t>
      </w:r>
      <w:r>
        <w:rPr>
          <w:rFonts w:ascii="Times New Roman"/>
          <w:b w:val="false"/>
          <w:i w:val="false"/>
          <w:color w:val="000000"/>
          <w:sz w:val="28"/>
        </w:rPr>
        <w:t>7) ограничение жизнедеятельности вследствие социально значимых заболеваний и заболеваний, представляющих опасность для окружающих;</w:t>
      </w:r>
      <w:r>
        <w:br/>
      </w:r>
      <w:r>
        <w:rPr>
          <w:rFonts w:ascii="Times New Roman"/>
          <w:b w:val="false"/>
          <w:i w:val="false"/>
          <w:color w:val="000000"/>
          <w:sz w:val="28"/>
        </w:rPr>
        <w:t>
      </w:t>
      </w:r>
      <w:r>
        <w:rPr>
          <w:rFonts w:ascii="Times New Roman"/>
          <w:b w:val="false"/>
          <w:i w:val="false"/>
          <w:color w:val="000000"/>
          <w:sz w:val="28"/>
        </w:rPr>
        <w:t>8) неспособность к самообслуживанию в связи с преклонным возрастом, вследствие перенесенной болезни и (или) инвалидности;</w:t>
      </w:r>
      <w:r>
        <w:br/>
      </w:r>
      <w:r>
        <w:rPr>
          <w:rFonts w:ascii="Times New Roman"/>
          <w:b w:val="false"/>
          <w:i w:val="false"/>
          <w:color w:val="000000"/>
          <w:sz w:val="28"/>
        </w:rPr>
        <w:t>
      </w:t>
      </w:r>
      <w:r>
        <w:rPr>
          <w:rFonts w:ascii="Times New Roman"/>
          <w:b w:val="false"/>
          <w:i w:val="false"/>
          <w:color w:val="000000"/>
          <w:sz w:val="28"/>
        </w:rPr>
        <w:t>9) жестокое обращение, приведшее к социальной дезадаптации и социальной депривации;</w:t>
      </w:r>
      <w:r>
        <w:br/>
      </w:r>
      <w:r>
        <w:rPr>
          <w:rFonts w:ascii="Times New Roman"/>
          <w:b w:val="false"/>
          <w:i w:val="false"/>
          <w:color w:val="000000"/>
          <w:sz w:val="28"/>
        </w:rPr>
        <w:t>
      </w:t>
      </w:r>
      <w:r>
        <w:rPr>
          <w:rFonts w:ascii="Times New Roman"/>
          <w:b w:val="false"/>
          <w:i w:val="false"/>
          <w:color w:val="000000"/>
          <w:sz w:val="28"/>
        </w:rPr>
        <w:t>10) бездомность (лица без определенного места жительства);</w:t>
      </w:r>
      <w:r>
        <w:br/>
      </w:r>
      <w:r>
        <w:rPr>
          <w:rFonts w:ascii="Times New Roman"/>
          <w:b w:val="false"/>
          <w:i w:val="false"/>
          <w:color w:val="000000"/>
          <w:sz w:val="28"/>
        </w:rPr>
        <w:t>
      </w:t>
      </w:r>
      <w:r>
        <w:rPr>
          <w:rFonts w:ascii="Times New Roman"/>
          <w:b w:val="false"/>
          <w:i w:val="false"/>
          <w:color w:val="000000"/>
          <w:sz w:val="28"/>
        </w:rPr>
        <w:t>11) освобождение из мест лишения свободы;</w:t>
      </w:r>
      <w:r>
        <w:br/>
      </w:r>
      <w:r>
        <w:rPr>
          <w:rFonts w:ascii="Times New Roman"/>
          <w:b w:val="false"/>
          <w:i w:val="false"/>
          <w:color w:val="000000"/>
          <w:sz w:val="28"/>
        </w:rPr>
        <w:t>
      </w:t>
      </w:r>
      <w:r>
        <w:rPr>
          <w:rFonts w:ascii="Times New Roman"/>
          <w:b w:val="false"/>
          <w:i w:val="false"/>
          <w:color w:val="000000"/>
          <w:sz w:val="28"/>
        </w:rPr>
        <w:t>12) нахождение на учете службы пробации уголовно-исполнительной инспекции;</w:t>
      </w:r>
      <w:r>
        <w:br/>
      </w:r>
      <w:r>
        <w:rPr>
          <w:rFonts w:ascii="Times New Roman"/>
          <w:b w:val="false"/>
          <w:i w:val="false"/>
          <w:color w:val="000000"/>
          <w:sz w:val="28"/>
        </w:rPr>
        <w:t>
      </w:t>
      </w:r>
      <w:r>
        <w:rPr>
          <w:rFonts w:ascii="Times New Roman"/>
          <w:b w:val="false"/>
          <w:i w:val="false"/>
          <w:color w:val="000000"/>
          <w:sz w:val="28"/>
        </w:rPr>
        <w:t>13) причинение ущерба гражданину (семье) либо его имуществу вследствие стихийного бедствия или пожара, либо наличие социально значимого заболевания (злокачественное новообразование, тяжелая форма туберкулеза, дети-инвалиды);</w:t>
      </w:r>
      <w:r>
        <w:br/>
      </w:r>
      <w:r>
        <w:rPr>
          <w:rFonts w:ascii="Times New Roman"/>
          <w:b w:val="false"/>
          <w:i w:val="false"/>
          <w:color w:val="000000"/>
          <w:sz w:val="28"/>
        </w:rPr>
        <w:t>
      </w:t>
      </w:r>
      <w:r>
        <w:rPr>
          <w:rFonts w:ascii="Times New Roman"/>
          <w:b w:val="false"/>
          <w:i w:val="false"/>
          <w:color w:val="000000"/>
          <w:sz w:val="28"/>
        </w:rPr>
        <w:t>14) наличие среднедушевого дохода, не превышающего 1,0 прожиточного минимума, установленного маслихатом района имени Габита Мусрепова Северо-Казахстанской области;</w:t>
      </w:r>
      <w:r>
        <w:br/>
      </w:r>
      <w:r>
        <w:rPr>
          <w:rFonts w:ascii="Times New Roman"/>
          <w:b w:val="false"/>
          <w:i w:val="false"/>
          <w:color w:val="000000"/>
          <w:sz w:val="28"/>
        </w:rPr>
        <w:t>
      </w:t>
      </w:r>
      <w:r>
        <w:rPr>
          <w:rFonts w:ascii="Times New Roman"/>
          <w:b w:val="false"/>
          <w:i w:val="false"/>
          <w:color w:val="000000"/>
          <w:sz w:val="28"/>
        </w:rPr>
        <w:t>15) нуждаемость участников и инвалидов Великой Отечественной войны, а также лиц приравненных по льготам и гарантиям к участникам и инвалидам Великой Отечественной войны, на зубопротезирование;</w:t>
      </w:r>
      <w:r>
        <w:br/>
      </w:r>
      <w:r>
        <w:rPr>
          <w:rFonts w:ascii="Times New Roman"/>
          <w:b w:val="false"/>
          <w:i w:val="false"/>
          <w:color w:val="000000"/>
          <w:sz w:val="28"/>
        </w:rPr>
        <w:t>
      </w:t>
      </w:r>
      <w:r>
        <w:rPr>
          <w:rFonts w:ascii="Times New Roman"/>
          <w:b w:val="false"/>
          <w:i w:val="false"/>
          <w:color w:val="000000"/>
          <w:sz w:val="28"/>
        </w:rPr>
        <w:t>16) нуждаемость участников и инвалидов Великой Отечественной войны, а также лиц приравненных по льготам и гарантиям к участникам и инвалидам Великой Отечественной войны, на санаторно-курортное лечение в санаториях и профилакториях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17) нуждаемость участников и инвалидов Великой Отечественной войны в ежемесячной компенсации за оплату коммунальных услуг и приобретение топлива; </w:t>
      </w:r>
      <w:r>
        <w:br/>
      </w:r>
      <w:r>
        <w:rPr>
          <w:rFonts w:ascii="Times New Roman"/>
          <w:b w:val="false"/>
          <w:i w:val="false"/>
          <w:color w:val="000000"/>
          <w:sz w:val="28"/>
        </w:rPr>
        <w:t>
      </w:t>
      </w:r>
      <w:r>
        <w:rPr>
          <w:rFonts w:ascii="Times New Roman"/>
          <w:b w:val="false"/>
          <w:i w:val="false"/>
          <w:color w:val="000000"/>
          <w:sz w:val="28"/>
        </w:rPr>
        <w:t>18) нуждаемость лиц больных активной формой туберкулеза в ежеквартальной помощи;</w:t>
      </w:r>
      <w:r>
        <w:br/>
      </w:r>
      <w:r>
        <w:rPr>
          <w:rFonts w:ascii="Times New Roman"/>
          <w:b w:val="false"/>
          <w:i w:val="false"/>
          <w:color w:val="000000"/>
          <w:sz w:val="28"/>
        </w:rPr>
        <w:t>
      </w:t>
      </w:r>
      <w:r>
        <w:rPr>
          <w:rFonts w:ascii="Times New Roman"/>
          <w:b w:val="false"/>
          <w:i w:val="false"/>
          <w:color w:val="000000"/>
          <w:sz w:val="28"/>
        </w:rPr>
        <w:t>19) наличие среднедушевого дохода, не превышающего 60 процентов от прожиточного минимума, при заключении социального контракта активизации семьи на условиях участия трудоспособных членов семьи (лица) в мерах содействия занятости;</w:t>
      </w:r>
      <w:r>
        <w:br/>
      </w:r>
      <w:r>
        <w:rPr>
          <w:rFonts w:ascii="Times New Roman"/>
          <w:b w:val="false"/>
          <w:i w:val="false"/>
          <w:color w:val="000000"/>
          <w:sz w:val="28"/>
        </w:rPr>
        <w:t>
      </w:t>
      </w:r>
      <w:r>
        <w:rPr>
          <w:rFonts w:ascii="Times New Roman"/>
          <w:b w:val="false"/>
          <w:i w:val="false"/>
          <w:color w:val="000000"/>
          <w:sz w:val="28"/>
        </w:rPr>
        <w:t xml:space="preserve">20) нуждаемость участников и инвалидов Великой Отечественной войны и лиц, приравненных к ним, другие категории лиц, приравненным по льготам и гарантиям к участникам и инвалидам Великой Отечественной войны, а также лиц, пострадавшим в зоне Семипалатинского ядерного полигона в проезде железнождорожным (плацкартный вагон), автомобильным пассажирским транспортом (кроме такси) от станции отправления одного видов указанных транспортных средств до места госпитализации и обратно по территории Республики Казахстан.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