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a2be" w14:textId="1ada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Жетысуского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05 февраля 2016 года № 01. Зарегистрировано Департаментом юстиции города Алматы 03 марта 2016 года № 1256. Утратило силу решением акима Жетысуского района города Алматы от 10 марта 2017 года №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10.03.2017 № 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 Жетысуского района города Aлматы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Жетысуского района г.Aлматы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Произвести государственную регистрацию данного нормативного правового акта в Департаменте юстиции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Aппарату акима Жетысуского района города Aлматы обеспечить размещение настоящего решения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Aлматы № 02 от 15 мая 2015 года "Об утверждении Методики ежегодной оценки деятельности административных государственных служащих корпуса "Б" аппарата акима Жетысуского района города Aлматы", зарегистрированное в Департаменте юстиции города Aлматы 18 июня 2015 года № 1176.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решения возложить на руководителя аппарата акима Жетысуского района города Aлматы Садвакасову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Жетысуского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2016 г. № 01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МЕТОДИКA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акима</w:t>
      </w:r>
      <w:r>
        <w:br/>
      </w:r>
      <w:r>
        <w:rPr>
          <w:rFonts w:ascii="Times New Roman"/>
          <w:b/>
          <w:i w:val="false"/>
          <w:color w:val="000000"/>
        </w:rPr>
        <w:t>Жетысуского района города Aлматы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(кадровая служба)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акима Жетысуского района города Aлматы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аппарата акима Жетысуского района города Aлматы,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аппарата акима Жетысуского района города Aлматы,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93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 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(кадровая служба)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(кадровая служба)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Департаменте агентства Республики Казахстан по делам государственной службы по городу Aлматы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Департамент агентства Республики Казахстан по делам государственной службы по городу Aлматы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акима Жетысуского района города Aлматы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акима Жетысуского района города Aлматы в течение двух недель в Департамент агентства Республики Казахстан по делам государственной службы по городу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Жетысуского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Жетысуского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122"/>
        <w:gridCol w:w="1357"/>
        <w:gridCol w:w="1975"/>
        <w:gridCol w:w="1357"/>
        <w:gridCol w:w="1445"/>
        <w:gridCol w:w="1358"/>
        <w:gridCol w:w="915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поощ- 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наруше-ния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Жетысуского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175"/>
        <w:gridCol w:w="4320"/>
        <w:gridCol w:w="1730"/>
        <w:gridCol w:w="2285"/>
        <w:gridCol w:w="117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самоо-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6"/>
        <w:gridCol w:w="6494"/>
      </w:tblGrid>
      <w:tr>
        <w:trPr>
          <w:trHeight w:val="30" w:hRule="atLeast"/>
        </w:trPr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Жетысуского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Жетысуского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4063"/>
        <w:gridCol w:w="1772"/>
        <w:gridCol w:w="4064"/>
        <w:gridCol w:w="771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