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04823" w14:textId="cf048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акимата Щербактинского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22 февраля 2016 года № 32/2. Зарегистрировано департаментом юстиции Павлодарской области 05 марта 2016 года № 4964. Утратило силу постановлением акимата Щербактинского района Павлодарской области от 2 марта 2017 года № 57/2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Щербактинского района Павлодарской области от 02.03.2017 № 57/2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служащих",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Щербактинского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Руководителю государственного учреждения "Аппарат акима Щербактинского района" в установленном законом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настоящей методики возложить на руководителя аппарата акима Щербактинского района Нуркенову Бибигуль Хамидуллаевну.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Щербактинского района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"22" февраля 2016 года № 32/2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исполнительных</w:t>
      </w:r>
      <w:r>
        <w:br/>
      </w:r>
      <w:r>
        <w:rPr>
          <w:rFonts w:ascii="Times New Roman"/>
          <w:b/>
          <w:i w:val="false"/>
          <w:color w:val="000000"/>
        </w:rPr>
        <w:t>органов акимата Щербактинского района</w:t>
      </w:r>
    </w:p>
    <w:bookmarkEnd w:id="0"/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 13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</w:t>
      </w:r>
      <w:r>
        <w:rPr>
          <w:rFonts w:ascii="Times New Roman"/>
          <w:b w:val="false"/>
          <w:i w:val="false"/>
          <w:color w:val="000000"/>
          <w:sz w:val="28"/>
        </w:rPr>
        <w:t xml:space="preserve">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Комиссии по оценке, рабочим органом которой является служба управления персоналом государственного учреждения "Аппарат акима Щербактинского района" (далее – служба управления персоналом).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по оценке является главный специалист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10.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14.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15.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16.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19.</w:t>
      </w:r>
      <w:r>
        <w:rPr>
          <w:rFonts w:ascii="Times New Roman"/>
          <w:b w:val="false"/>
          <w:i w:val="false"/>
          <w:color w:val="000000"/>
          <w:sz w:val="28"/>
        </w:rPr>
        <w:t xml:space="preserve">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20.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21.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каждое нарушение исполнительской и трудовой дисциплины служащему корпуса "Б" выставляются штрафные баллы в размере "–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23.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24.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Непосредственный руководитель с учетом представленных службой управления персоналом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26.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27.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29.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30.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лиц (не более трех), указанных в подпунктах 2) и 3) </w:t>
      </w:r>
      <w:r>
        <w:rPr>
          <w:rFonts w:ascii="Times New Roman"/>
          <w:b w:val="false"/>
          <w:i w:val="false"/>
          <w:color w:val="000000"/>
          <w:sz w:val="28"/>
        </w:rPr>
        <w:t>пункта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31.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32.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33.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34.</w:t>
      </w:r>
      <w:r>
        <w:rPr>
          <w:rFonts w:ascii="Times New Roman"/>
          <w:b w:val="false"/>
          <w:i w:val="false"/>
          <w:color w:val="000000"/>
          <w:sz w:val="28"/>
        </w:rPr>
        <w:t xml:space="preserve">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35.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066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0066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20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36.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37.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9276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001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59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59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"удовлетворительно"(от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71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7700" cy="54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38.</w:t>
      </w:r>
      <w:r>
        <w:rPr>
          <w:rFonts w:ascii="Times New Roman"/>
          <w:b w:val="false"/>
          <w:i w:val="false"/>
          <w:color w:val="000000"/>
          <w:sz w:val="28"/>
        </w:rPr>
        <w:t xml:space="preserve">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3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3 до 4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4 до 5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39.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40.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41.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42.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43.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44.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45.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46.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47.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48.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49.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50.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51.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52.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служащего: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2015"/>
        <w:gridCol w:w="1718"/>
        <w:gridCol w:w="1718"/>
        <w:gridCol w:w="2016"/>
        <w:gridCol w:w="1719"/>
        <w:gridCol w:w="1719"/>
        <w:gridCol w:w="532"/>
      </w:tblGrid>
      <w:tr>
        <w:trPr>
          <w:trHeight w:val="30" w:hRule="atLeast"/>
        </w:trPr>
        <w:tc>
          <w:tcPr>
            <w:tcW w:w="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6"/>
        <w:gridCol w:w="2571"/>
        <w:gridCol w:w="4193"/>
        <w:gridCol w:w="1502"/>
        <w:gridCol w:w="1503"/>
        <w:gridCol w:w="965"/>
      </w:tblGrid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5"/>
        <w:gridCol w:w="6735"/>
      </w:tblGrid>
      <w:tr>
        <w:trPr>
          <w:trHeight w:val="30" w:hRule="atLeast"/>
        </w:trPr>
        <w:tc>
          <w:tcPr>
            <w:tcW w:w="55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Ф.И.О. (при его наличии) оцениваемого служащего: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Типовой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(Ф.И.О.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