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d69264" w14:textId="fd692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Аксуского городского маслихата (LII сессия, V созыв) от 22 декабря 2015 года № 395/52 "О бюджете города Аксу на 2016 - 2018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Аксу Павлодарской области от 18 января 2016 года № 419/53. Зарегистрировано Департаментом юстиции Павлодарской области 03 февраля 2016 года № 4916. Утратило силу решением маслихата города Аксу Павлодарской области от 15 марта 2017 года № 97/11 (вводится в действие со дня его первого официального опубликования)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маслихата города Аксу Павлодарской области от 15.03.2017 № 97/11 (вводится в действие со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Аксуский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1.</w:t>
      </w:r>
      <w:r>
        <w:rPr>
          <w:rFonts w:ascii="Times New Roman"/>
          <w:b w:val="false"/>
          <w:i w:val="false"/>
          <w:color w:val="000000"/>
          <w:sz w:val="28"/>
        </w:rPr>
        <w:t xml:space="preserve">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Аксуского городского маслихата (LII сессия, V созыв) от 22 декабря 2015 года № 395/52 "О бюджете города Аксу на 2016 - 2018 годы" (зарегистрированное в Реестре государственной регистрации нормативных правовых актов за № 4874, опубликованное 8 января 2016 года в газетах "Аксу жолы", "Новый Путь" № 1)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2) цифры "8869339" заменить цифрами "8663339";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в подпункте 3):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"3834" заменить цифрами "209834";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цифры "22270" заменить цифрами "228270";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2.</w:t>
      </w:r>
      <w:r>
        <w:rPr>
          <w:rFonts w:ascii="Times New Roman"/>
          <w:b w:val="false"/>
          <w:i w:val="false"/>
          <w:color w:val="000000"/>
          <w:sz w:val="28"/>
        </w:rPr>
        <w:t xml:space="preserve"> Контроль за выполнением данного решения возложить на постоянную комиссию по вопросам экономики и бюджета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3.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сессии, секретарь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Омаргалиев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(LIII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внеочередная сессия V созыв)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2016 года № 419/53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Аксуского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городского маслихата (LII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 V созыв) от 22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 года № 395/52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Аксу на 2016 год</w:t>
      </w:r>
      <w:r>
        <w:br/>
      </w:r>
      <w:r>
        <w:rPr>
          <w:rFonts w:ascii="Times New Roman"/>
          <w:b/>
          <w:i w:val="false"/>
          <w:color w:val="000000"/>
        </w:rPr>
        <w:t>(с внесенными изменениями)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02"/>
        <w:gridCol w:w="859"/>
        <w:gridCol w:w="502"/>
        <w:gridCol w:w="502"/>
        <w:gridCol w:w="7280"/>
        <w:gridCol w:w="265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8869339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6032596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2909633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1796320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1149572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764294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116532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154413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22658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2724339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7"/>
        <w:gridCol w:w="847"/>
        <w:gridCol w:w="1202"/>
        <w:gridCol w:w="1202"/>
        <w:gridCol w:w="5584"/>
        <w:gridCol w:w="261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(тысяч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8663339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366803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 коммунальным имуществом, постприватизационная деятельность и регулирование споров, связанных с этим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 и туризма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акимà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регистрации актов гражданского состояния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регистрации актов гражданского состояния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4457679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1368057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359777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513477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2990361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2829730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2715960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Выплаты единовременных денежных средств казахстанским гражданам, усыновившим (удочерившим) ребенка (детей)-сироту и ребенка (детей), оставшихся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275288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адаптация лиц, не имеющих определенного места жительства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обучающихся и воспитанников организаций образования очной формы обучения в виде льготного проезда на общественном транспорте (кроме такси) по решению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пособии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378868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энергетического аудита многоквартирных жилых домов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и/или сооружение недостающих объектов инженерно-коммуникационной инфраструктуры в рамках второго направления "Дорожной карты занятости – 2020"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 сетей, находящихся в коммунальной собственности районов (городов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314254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420734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251903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68166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 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175812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113880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73267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 и генеральных планов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422531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407363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400763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491593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туризма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органа,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и концессионных проектов и проведение его экспертизы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бюджетных инвестиционных проектов в моногородах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1492575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на реконструкцию и строительство систем тепло-,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22270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местного бюджета физическим лицам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