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b018" w14:textId="cf1b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органов, финансируемых из местных бюджетов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25 февраля 2016 года № 79/2. Зарегистрировано Департаментом юстиции Павлодарской области 10 марта 2016 года № 4976. Утратило силу постановлением акимата Павлодарской области от 21 февраля 2017 года № 30/2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21.02.2017 № 30/2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органов, финансируемых из местных бюджетов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размещение настоящего постановления на интернет-ресурсе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области Уразгулова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исполнительных органов, финансируемых из</w:t>
      </w:r>
      <w:r>
        <w:br/>
      </w:r>
      <w:r>
        <w:rPr>
          <w:rFonts w:ascii="Times New Roman"/>
          <w:b/>
          <w:i w:val="false"/>
          <w:color w:val="000000"/>
        </w:rPr>
        <w:t>местных бюджетов Павлодарской области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исполнительных органов, финансируемых из местных бюджетов Павлодарской области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и определяет алгоритм оценки деятельности административных государственных служащих корпуса "Б" исполнительных органов, финансируемых из местных бюджетов Павлодарской области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руководителей областных исполнительных органов, исполнительных органов финансируемых из местного бюджета, оценка проводится акимом области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 (далее – Комиссия),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службы управления персоналом.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+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36. Итоговая квартальная оценка выставляется по следующей шкале: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276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76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287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 Дата: 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