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1686" w14:textId="7cd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Тарановскому району в разрезе природно-климатических зон по видам продукции растениеводства, подлежащим обязательному страхованию в растениеводстве,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23 июня 2016 года № 189. Зарегистрировано Департаментом юстиции Костанайской области 19 июля 2016 года № 6549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оптимальные сроки начала и завершения посевных работ по Тарановскому району в разрезе природно-климатических зон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яровые зерновые культуры (пшеница, ячмень, овес, просо, гречиха) с 15 мая по 10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зернобобовые культуры (горох, нут, чечевица) с 15 мая по 5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масличные культуры (рапс, лен, подсолнечник) с 5 мая по 31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