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a4c80" w14:textId="7ca4c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Карасуского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6 июня 2016 года № 33. Зарегистрировано Департаментом юстиции Костанайской области 29 июня 2016 года № 6507. Утратило силу решением маслихата Карасуского района Костанайской области от 23 февраля 2017 года № 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Карасуского района Костанайской области от 23.02.2017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Карасуского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руководителя аппарата государственного учреждения "Аппарат Карасуского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Журжа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Карасуского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государственного учреждения "Аппарат Карасуского районного маслихата"</w:t>
      </w:r>
    </w:p>
    <w:bookmarkEnd w:id="0"/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государственного учреждения "Аппарат Карасуского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государственного учреждения "Аппарат Карасуского районного маслихата" (далее – служащие корпуса Б).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Служащие корпуса "Б", находящиеся в социальных отпусках, проходят оценку после выхода на работу в сроки, указанные в настоящем пункте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секретарем Карасуского районного маслихата создается Комиссия по оценке (далее - Комиссия), рабочим органом которой является отдел организационно-правовой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сотрудник отдела организационно-правовой работы.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отдел организационно-правовой работы.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Отдел организационно-правовой работы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Отдел организационно-правовой работы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корпуса "Б"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отдела организационно-правовой работы,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отделом организационно-правовой работы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Комиссии. В этом случае работником отдела организационно-правовой работы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Комиссии. В этом случае работником отдела организационно-правовой работы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отделом организационно-правовой работы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отдел организационно-правовой работы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Отдел организационно-правовой работы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отделом организационно-правовой работы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значению "неудовлетворительно" (менее 80 баллов) присваиваются 2 балла,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значению "превосходно" (свыше 130 баллов) – 5 баллов;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Отдел организационно-правовой работы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Отдел организационно-правовой работы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отделом организационно-правовой работы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Отдел организационно-правовой работы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отдела организационно-правовой работы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отделе организационно-правовой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2"/>
        <w:gridCol w:w="5297"/>
        <w:gridCol w:w="2881"/>
      </w:tblGrid>
      <w:tr>
        <w:trPr>
          <w:trHeight w:val="30" w:hRule="atLeast"/>
        </w:trPr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74"/>
        <w:gridCol w:w="6626"/>
      </w:tblGrid>
      <w:tr>
        <w:trPr>
          <w:trHeight w:val="30" w:hRule="atLeast"/>
        </w:trPr>
        <w:tc>
          <w:tcPr>
            <w:tcW w:w="5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  <w:r>
        <w:br/>
      </w:r>
      <w:r>
        <w:rPr>
          <w:rFonts w:ascii="Times New Roman"/>
          <w:b/>
          <w:i w:val="false"/>
          <w:color w:val="000000"/>
        </w:rPr>
        <w:t>___________________квартал ____ года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0"/>
        <w:gridCol w:w="1984"/>
        <w:gridCol w:w="1723"/>
        <w:gridCol w:w="1723"/>
        <w:gridCol w:w="1984"/>
        <w:gridCol w:w="1723"/>
        <w:gridCol w:w="1724"/>
        <w:gridCol w:w="469"/>
      </w:tblGrid>
      <w:tr>
        <w:trPr>
          <w:trHeight w:val="30" w:hRule="atLeast"/>
        </w:trPr>
        <w:tc>
          <w:tcPr>
            <w:tcW w:w="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5"/>
        <w:gridCol w:w="5865"/>
      </w:tblGrid>
      <w:tr>
        <w:trPr>
          <w:trHeight w:val="30" w:hRule="atLeast"/>
        </w:trPr>
        <w:tc>
          <w:tcPr>
            <w:tcW w:w="6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2324"/>
        <w:gridCol w:w="3792"/>
        <w:gridCol w:w="1751"/>
        <w:gridCol w:w="1751"/>
        <w:gridCol w:w="873"/>
      </w:tblGrid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75"/>
        <w:gridCol w:w="6525"/>
      </w:tblGrid>
      <w:tr>
        <w:trPr>
          <w:trHeight w:val="30" w:hRule="atLeast"/>
        </w:trPr>
        <w:tc>
          <w:tcPr>
            <w:tcW w:w="5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0"/>
        <w:gridCol w:w="2260"/>
        <w:gridCol w:w="4646"/>
        <w:gridCol w:w="3134"/>
      </w:tblGrid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(вид оценки: квартальная/годовая и оцениваемый период</w:t>
      </w:r>
      <w:r>
        <w:br/>
      </w:r>
      <w:r>
        <w:rPr>
          <w:rFonts w:ascii="Times New Roman"/>
          <w:b/>
          <w:i w:val="false"/>
          <w:color w:val="000000"/>
        </w:rPr>
        <w:t>(квартал и (или) год)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4260"/>
        <w:gridCol w:w="1740"/>
        <w:gridCol w:w="3881"/>
        <w:gridCol w:w="984"/>
      </w:tblGrid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(Ф.И.О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(Ф.И.О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