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a5a8" w14:textId="128a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мая 2016 года № 30. Зарегистрировано Департаментом юстиции Костанайской области 21 июня 2016 года № 6479. Утратило силу решением маслихата Джангельдинского района Костанайской области от 27 февраля 2017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Джангельдинского района Костанайской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"ведущий", "ведущему", "ведущего", "ведущим" заменены словами "главный", "главному", "главного", "главным" решением маслихата Джангельдинского района Костанайской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24.10.2016).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Джангельдинского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30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Джангельдинского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организационной отдел государственного учреждения "Аппарат Джангельдинского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Джангельдинского районного маслихата", ответственный за ведение кадрового делопроизводства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