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202a" w14:textId="3352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27 апреля 2016 года № 25. Зарегистрировано Департаментом юстиции Костанайской области 3 июня 2016 года № 6420. Утратило силу решением маслихата Денисовского района Костанайской области от 22 февраля 2017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Денисовского района Костанайской области от 22.02.2017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Денисовского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государственного учреждения "Аппарат Денисовского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второй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апреля 2016 года № 25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районного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ответственным за ее работу является главный специалист, в должностные обязанности которого входят вопросы кадровой работы (далее - главный специалист).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специалисту. Второй экземпляр находится у руководителя отдела организационной работы государственного учреждения "Аппарат Денисовского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главным специалистом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главным специалистом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организационной работы государственного учреждения "Аппарат Денисовского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6267"/>
        <w:gridCol w:w="2908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 квартал 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1903"/>
        <w:gridCol w:w="1903"/>
        <w:gridCol w:w="1653"/>
        <w:gridCol w:w="1903"/>
        <w:gridCol w:w="1904"/>
        <w:gridCol w:w="1653"/>
        <w:gridCol w:w="450"/>
      </w:tblGrid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 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 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88"/>
        <w:gridCol w:w="5912"/>
      </w:tblGrid>
      <w:tr>
        <w:trPr>
          <w:trHeight w:val="30" w:hRule="atLeast"/>
        </w:trPr>
        <w:tc>
          <w:tcPr>
            <w:tcW w:w="63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</w:t>
      </w:r>
      <w:r>
        <w:rPr>
          <w:rFonts w:ascii="Times New Roman"/>
          <w:b w:val="false"/>
          <w:i/>
          <w:color w:val="000000"/>
          <w:sz w:val="28"/>
        </w:rPr>
        <w:t>).,</w:t>
      </w:r>
      <w:r>
        <w:rPr>
          <w:rFonts w:ascii="Times New Roman"/>
          <w:b w:val="false"/>
          <w:i/>
          <w:color w:val="000000"/>
          <w:sz w:val="28"/>
        </w:rPr>
        <w:t xml:space="preserve">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