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8fb7" w14:textId="9298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Аркалыкского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 апреля 2016 года № 13. Зарегистрировано Департаментом юстиции Костанайской области 6 мая 2016 года № 6328. Утратило силу решением маслихата города Аркалыка Костанайской области от 23 февраля 2017 года № 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города Аркалыка Костанайской области от 23.02.2017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Аркалыкский городской маслихата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Аркалыкского городского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государственного учреждения "Аппарат Аркалыкского городского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сессии,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Тасмаганбет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Аркалыкского городского маслихата"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Аркалыкского городского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государственного учреждения "Аппарат Аркалыкского городского маслихата"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секретарем Аркалыкского городского маслихата,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организационно-правовой отдел.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ведущий специалист организационно-правового отдела.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организационно-правовой отдел. Второй экземпляр находится у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Организационно-правовой отдел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Организационно-правовой отдел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 органом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организационно-правового отдела,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организационно-правовым отделом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организационно-правового отдела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организационно-правового отдела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организационно-правовым отделом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организационно-правовой отдел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Организационно-правовой отдел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организационно-правовым отделом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Организационно-правовой отдел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Организационно-правовой отдел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организационно-правовым отделом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Организационно-правовой отдел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 организационно-правового отдела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организационно-правовом отделе.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Информация о принятом решении представляется государственным учреждением "Аппарат Аркалыкского городского маслихата"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46.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деятельности служащих корпуса "Б" вносятся в ихпослужные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rPr>
          <w:rFonts w:ascii="Times New Roman"/>
          <w:b/>
          <w:i w:val="false"/>
          <w:color w:val="000000"/>
        </w:rPr>
        <w:t xml:space="preserve"> государственного служащего корпуса "Б"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период</w:t>
      </w:r>
      <w:r>
        <w:rPr>
          <w:rFonts w:ascii="Times New Roman"/>
          <w:b w:val="false"/>
          <w:i/>
          <w:color w:val="000000"/>
          <w:sz w:val="28"/>
        </w:rPr>
        <w:t>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4"/>
        <w:gridCol w:w="4975"/>
        <w:gridCol w:w="2351"/>
      </w:tblGrid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94"/>
        <w:gridCol w:w="146"/>
        <w:gridCol w:w="6260"/>
      </w:tblGrid>
      <w:tr>
        <w:trPr>
          <w:trHeight w:val="30" w:hRule="atLeast"/>
        </w:trPr>
        <w:tc>
          <w:tcPr>
            <w:tcW w:w="5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 </w:t>
            </w:r>
          </w:p>
        </w:tc>
      </w:tr>
    </w:tbl>
    <w:bookmarkStart w:name="z15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 квартал 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оцениваемый</w:t>
      </w:r>
      <w:r>
        <w:rPr>
          <w:rFonts w:ascii="Times New Roman"/>
          <w:b w:val="false"/>
          <w:i/>
          <w:color w:val="000000"/>
          <w:sz w:val="28"/>
        </w:rPr>
        <w:t xml:space="preserve">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72"/>
        <w:gridCol w:w="155"/>
        <w:gridCol w:w="6073"/>
      </w:tblGrid>
      <w:tr>
        <w:trPr>
          <w:trHeight w:val="30" w:hRule="atLeast"/>
        </w:trPr>
        <w:tc>
          <w:tcPr>
            <w:tcW w:w="60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оцениваемый</w:t>
      </w:r>
      <w:r>
        <w:rPr>
          <w:rFonts w:ascii="Times New Roman"/>
          <w:b w:val="false"/>
          <w:i/>
          <w:color w:val="000000"/>
          <w:sz w:val="28"/>
        </w:rPr>
        <w:t xml:space="preserve">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5"/>
        <w:gridCol w:w="1055"/>
        <w:gridCol w:w="5182"/>
        <w:gridCol w:w="1645"/>
        <w:gridCol w:w="1646"/>
        <w:gridCol w:w="1057"/>
      </w:tblGrid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70"/>
        <w:gridCol w:w="160"/>
        <w:gridCol w:w="5870"/>
      </w:tblGrid>
      <w:tr>
        <w:trPr>
          <w:trHeight w:val="30" w:hRule="atLeast"/>
        </w:trPr>
        <w:tc>
          <w:tcPr>
            <w:tcW w:w="6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оцениваемый</w:t>
      </w:r>
      <w:r>
        <w:rPr>
          <w:rFonts w:ascii="Times New Roman"/>
          <w:b w:val="false"/>
          <w:i/>
          <w:color w:val="000000"/>
          <w:sz w:val="28"/>
        </w:rPr>
        <w:t xml:space="preserve">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/>
          <w:color w:val="000000"/>
          <w:sz w:val="28"/>
        </w:rPr>
        <w:t xml:space="preserve"> 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вид</w:t>
      </w:r>
      <w:r>
        <w:rPr>
          <w:rFonts w:ascii="Times New Roman"/>
          <w:b w:val="false"/>
          <w:i/>
          <w:color w:val="000000"/>
          <w:sz w:val="28"/>
        </w:rPr>
        <w:t xml:space="preserve"> оценки: квартальная/годовая и оцениваемый период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(квартал и (или)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3138"/>
        <w:gridCol w:w="1845"/>
        <w:gridCol w:w="4599"/>
        <w:gridCol w:w="873"/>
      </w:tblGrid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 (при его наличии),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 (при его наличии),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 (при его наличии),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