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2483" w14:textId="8442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1 апреля 2016 года № 13. Зарегистрировано Департаментом юстиции Костанайской области 4 мая 2016 года № 6316. Утратило силу решением маслихата города Костаная Костанайской области от 21 февраля 2017 года №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Костаная Костанайской области от 21.02.2017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Костанайского городского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Костанайского городского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организационно-правовой отдел государственного учреждения "Аппарат Костанайского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государственного учреждения "Аппарат Костанайского городского маслихата", ответственный за ведение кадрового делопроизводства (далее – главный специалист). Главный специалист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0"/>
        <w:gridCol w:w="5744"/>
        <w:gridCol w:w="2666"/>
      </w:tblGrid>
      <w:tr>
        <w:trPr>
          <w:trHeight w:val="30" w:hRule="atLeast"/>
        </w:trPr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 Ф.И.О. (при его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981"/>
        <w:gridCol w:w="1720"/>
        <w:gridCol w:w="1720"/>
        <w:gridCol w:w="1981"/>
        <w:gridCol w:w="1721"/>
        <w:gridCol w:w="1721"/>
        <w:gridCol w:w="468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 Ф.И.О. (при его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2118"/>
        <w:gridCol w:w="4343"/>
        <w:gridCol w:w="1681"/>
        <w:gridCol w:w="1682"/>
        <w:gridCol w:w="795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 Ф.И.О. (при его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2496"/>
        <w:gridCol w:w="4579"/>
        <w:gridCol w:w="2738"/>
      </w:tblGrid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</w:t>
      </w:r>
      <w:r>
        <w:br/>
      </w:r>
      <w:r>
        <w:rPr>
          <w:rFonts w:ascii="Times New Roman"/>
          <w:b/>
          <w:i w:val="false"/>
          <w:color w:val="000000"/>
        </w:rPr>
        <w:t>период (квартал и (или) год)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4110"/>
        <w:gridCol w:w="1720"/>
        <w:gridCol w:w="3752"/>
        <w:gridCol w:w="1003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