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5778" w14:textId="8725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"Ревизионная комиссия по Костанайской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Ревизионной комиссии по Костанайской области от 14 декабря 2016 года № 1. Зарегистрировано Департаментом юстиции Костанайской области 11 января 2017 года № 6797. Утратило силу постановлением Ревизионной комиссии по Костанайской области от 23 февраля 2017 года № 1</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Ревизионной комиссии по Костанайской области от 23.02.2017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№12705), Ревизионная комиссия по Костанайской области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"Ревизионная комиссия по Костанайской области".</w:t>
      </w:r>
      <w:r>
        <w:br/>
      </w:r>
      <w:r>
        <w:rPr>
          <w:rFonts w:ascii="Times New Roman"/>
          <w:b w:val="false"/>
          <w:i w:val="false"/>
          <w:color w:val="000000"/>
          <w:sz w:val="28"/>
        </w:rPr>
        <w:t>
      </w:t>
      </w:r>
      <w:r>
        <w:rPr>
          <w:rFonts w:ascii="Times New Roman"/>
          <w:b w:val="false"/>
          <w:i w:val="false"/>
          <w:color w:val="000000"/>
          <w:sz w:val="28"/>
        </w:rPr>
        <w:t>2. Отделу обеспечения деятельности аппарата государственного учреждения "Ревизионная комиссия по Костанайской области" обеспечить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государственного учреждения "Ревизионная комиссия по Костанайской области".</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br/>
            </w:r>
            <w:r>
              <w:rPr>
                <w:rFonts w:ascii="Times New Roman"/>
                <w:b w:val="false"/>
                <w:i/>
                <w:color w:val="000000"/>
                <w:sz w:val="20"/>
              </w:rPr>
              <w:t>ревизионной комиссии</w:t>
            </w:r>
            <w:r>
              <w:br/>
            </w:r>
            <w:r>
              <w:rPr>
                <w:rFonts w:ascii="Times New Roman"/>
                <w:b w:val="false"/>
                <w:i/>
                <w:color w:val="000000"/>
                <w:sz w:val="20"/>
              </w:rPr>
              <w:t>по Костанайской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ревизионной</w:t>
            </w:r>
            <w:r>
              <w:br/>
            </w:r>
            <w:r>
              <w:rPr>
                <w:rFonts w:ascii="Times New Roman"/>
                <w:b w:val="false"/>
                <w:i w:val="false"/>
                <w:color w:val="000000"/>
                <w:sz w:val="20"/>
              </w:rPr>
              <w:t>комиссии по Костанайской</w:t>
            </w:r>
            <w:r>
              <w:br/>
            </w:r>
            <w:r>
              <w:rPr>
                <w:rFonts w:ascii="Times New Roman"/>
                <w:b w:val="false"/>
                <w:i w:val="false"/>
                <w:color w:val="000000"/>
                <w:sz w:val="20"/>
              </w:rPr>
              <w:t>области от 14 декабря 2016 года</w:t>
            </w:r>
            <w:r>
              <w:br/>
            </w:r>
            <w:r>
              <w:rPr>
                <w:rFonts w:ascii="Times New Roman"/>
                <w:b w:val="false"/>
                <w:i w:val="false"/>
                <w:color w:val="000000"/>
                <w:sz w:val="20"/>
              </w:rPr>
              <w:t>№ 1</w:t>
            </w:r>
          </w:p>
        </w:tc>
      </w:tr>
    </w:tbl>
    <w:bookmarkStart w:name="z10"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"Ревизионная комиссия по Костанайской области"</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государственного учреждения "Ревизионная комиссия по Костанайской области"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за №12705) и определяет алгоритм оценки деятельности административных государственных служащих корпуса "Б" государственного учреждения "Ревизионная комиссия по Костанайской области"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3. Оценка проводится по результатам деятельности служащего корпуса "Б" на занимаемой должности:</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 xml:space="preserve">Служащие корпуса "Б", находящиеся в социальных отпусках, проходят оценку после выхода на работу в сроки, указанные в настоящем пункте настоящей </w:t>
      </w:r>
      <w:r>
        <w:rPr>
          <w:rFonts w:ascii="Times New Roman"/>
          <w:b w:val="false"/>
          <w:i w:val="false"/>
          <w:color w:val="000000"/>
          <w:sz w:val="28"/>
        </w:rPr>
        <w:t>Методики</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 (кадровая служба) ревизионной комиссии по Костанайской области.</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третей ее состава.</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является главный инспектор по кадровой работе службы управления персоналом (кадровая служба) ревизионной комиссии по Костанайской области.</w:t>
      </w:r>
      <w:r>
        <w:br/>
      </w:r>
      <w:r>
        <w:rPr>
          <w:rFonts w:ascii="Times New Roman"/>
          <w:b w:val="false"/>
          <w:i w:val="false"/>
          <w:color w:val="000000"/>
          <w:sz w:val="28"/>
        </w:rPr>
        <w:t>
      </w:t>
      </w:r>
      <w:r>
        <w:rPr>
          <w:rFonts w:ascii="Times New Roman"/>
          <w:b w:val="false"/>
          <w:i w:val="false"/>
          <w:color w:val="000000"/>
          <w:sz w:val="28"/>
        </w:rPr>
        <w:t>Секретарь Комиссии по оценке не принимает участие в голосовании.</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xml:space="preserve">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учреждения "Ревизионная комиссия по Костанайской области" (далее – Ревизионная комиссия), а в случае ее (их) отсутствия, исходя из его функциональных обязанностей.</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 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ревизионной комиссии.</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главному инспектору по кадровой работе службы управления персоналом (кадровая служба).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Главный инспектор по кадровой работе службы управления персоналом (кадровая служба)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Главный инспектор по кадровой работе службы управления персоналом (кадровая служба)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Ревизионной комиссией исходя из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 фиксируемые в Единой системе электронного документооборота и Интранет-портале Ревизионной комиссии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1) нарушения сроков исполнения поручений вышестоящих органов, руководства Ревизионной комиссии, непосредственного руководителя 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 xml:space="preserve">3) нарушения служащими служебной этики. </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главного инспектора по кадровой работе службы управления персоналом (кадровая служба),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главным инспектором по кадровой работе службы управления персоналом (кадровая служба) и уполномоченного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главным инспектором по кадровой работе службы управления персоналом (кадровая служба)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главным инспектором по кадровой работе службы управления персоналом (кадровая служба)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оценки:</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подпунктах 2) и 3) </w:t>
      </w:r>
      <w:r>
        <w:rPr>
          <w:rFonts w:ascii="Times New Roman"/>
          <w:b w:val="false"/>
          <w:i w:val="false"/>
          <w:color w:val="000000"/>
          <w:sz w:val="28"/>
        </w:rPr>
        <w:t>пункта 29</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определяется главным инспектором по кадровой работе службы управления персоналом (кадровая служба)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xml:space="preserve">,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главному инспектору по кадровой работе службы управления персоналом (кадровая служба)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Главный инспектор по кадровой работе службы управления персоналом (кадровая служба)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r>
        <w:rPr>
          <w:rFonts w:ascii="Times New Roman"/>
          <w:b w:val="false"/>
          <w:i w:val="false"/>
          <w:color w:val="000000"/>
          <w:sz w:val="28"/>
        </w:rPr>
        <w:t>∑ кв. = 100 + а - в</w:t>
      </w:r>
      <w:r>
        <w:br/>
      </w:r>
      <w:r>
        <w:rPr>
          <w:rFonts w:ascii="Times New Roman"/>
          <w:b w:val="false"/>
          <w:i w:val="false"/>
          <w:color w:val="000000"/>
          <w:sz w:val="28"/>
        </w:rPr>
        <w:t>
      </w:t>
      </w:r>
      <w:r>
        <w:rPr>
          <w:rFonts w:ascii="Times New Roman"/>
          <w:b w:val="false"/>
          <w:i w:val="false"/>
          <w:color w:val="000000"/>
          <w:sz w:val="28"/>
        </w:rPr>
        <w:t>где ∑ кв. –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главным инспектором по кадровой работе службы управления персоналом (кадровая служба) не позднее пяти рабочих дней до заседания Комиссии по оценке по следующей формуле:</w:t>
      </w:r>
      <w:r>
        <w:br/>
      </w:r>
      <w:r>
        <w:rPr>
          <w:rFonts w:ascii="Times New Roman"/>
          <w:b w:val="false"/>
          <w:i w:val="false"/>
          <w:color w:val="000000"/>
          <w:sz w:val="28"/>
        </w:rPr>
        <w:t>
      </w:t>
      </w:r>
      <w:r>
        <w:rPr>
          <w:rFonts w:ascii="Times New Roman"/>
          <w:b w:val="false"/>
          <w:i w:val="false"/>
          <w:color w:val="000000"/>
          <w:sz w:val="28"/>
        </w:rPr>
        <w:t>∑ год. = 0,3 * ∑ кв. + 0,6 * ∑ ИП + 0,1 * ∑ к.</w:t>
      </w:r>
      <w:r>
        <w:br/>
      </w:r>
      <w:r>
        <w:rPr>
          <w:rFonts w:ascii="Times New Roman"/>
          <w:b w:val="false"/>
          <w:i w:val="false"/>
          <w:color w:val="000000"/>
          <w:sz w:val="28"/>
        </w:rPr>
        <w:t>
      </w:t>
      </w:r>
      <w:r>
        <w:rPr>
          <w:rFonts w:ascii="Times New Roman"/>
          <w:b w:val="false"/>
          <w:i w:val="false"/>
          <w:color w:val="000000"/>
          <w:sz w:val="28"/>
        </w:rPr>
        <w:t>где ∑ год. – годовая оценка;</w:t>
      </w:r>
      <w:r>
        <w:br/>
      </w:r>
      <w:r>
        <w:rPr>
          <w:rFonts w:ascii="Times New Roman"/>
          <w:b w:val="false"/>
          <w:i w:val="false"/>
          <w:color w:val="000000"/>
          <w:sz w:val="28"/>
        </w:rPr>
        <w:t>
      </w:t>
      </w:r>
      <w:r>
        <w:rPr>
          <w:rFonts w:ascii="Times New Roman"/>
          <w:b w:val="false"/>
          <w:i w:val="false"/>
          <w:color w:val="000000"/>
          <w:sz w:val="28"/>
        </w:rPr>
        <w:t>∑ кв. – средняя оценка за отчетные кварталы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 xml:space="preserve">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36</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r>
        <w:rPr>
          <w:rFonts w:ascii="Times New Roman"/>
          <w:b w:val="false"/>
          <w:i w:val="false"/>
          <w:color w:val="000000"/>
          <w:sz w:val="28"/>
        </w:rPr>
        <w:t>∑ ИП – оценка выполнения индивидуального плана работы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 к –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bookmarkStart w:name="z107"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Главный инспектор по кадровой работе службы управления персоналом (кадровая служба)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w:t>
      </w:r>
      <w:r>
        <w:rPr>
          <w:rFonts w:ascii="Times New Roman"/>
          <w:b w:val="false"/>
          <w:i w:val="false"/>
          <w:color w:val="000000"/>
          <w:sz w:val="28"/>
        </w:rPr>
        <w:t>Главный инспектор по кадровой работе службы управления персоналом (кадровая служба)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w:t>
      </w:r>
      <w:r>
        <w:rPr>
          <w:rFonts w:ascii="Times New Roman"/>
          <w:b w:val="false"/>
          <w:i w:val="false"/>
          <w:color w:val="000000"/>
          <w:sz w:val="28"/>
        </w:rPr>
        <w:t>Методике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главным инспектором по кадровой работе службы управления персоналом (кадровая служба)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Главный инспектор по кадровой работе службы управления персоналом (кадровая служба)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главным инспектором по кадровой работе службы управления персоналом (кадровая служба)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w:t>
      </w:r>
      <w:r>
        <w:rPr>
          <w:rFonts w:ascii="Times New Roman"/>
          <w:b w:val="false"/>
          <w:i w:val="false"/>
          <w:color w:val="000000"/>
          <w:sz w:val="28"/>
        </w:rPr>
        <w:t>Методики</w:t>
      </w:r>
      <w:r>
        <w:rPr>
          <w:rFonts w:ascii="Times New Roman"/>
          <w:b w:val="false"/>
          <w:i w:val="false"/>
          <w:color w:val="000000"/>
          <w:sz w:val="28"/>
        </w:rPr>
        <w:t>, а также подписанный протокол заседания Комиссии хранятся у главного инспектора по кадровой работе службы управления персоналом (кадровая служба).</w:t>
      </w:r>
      <w:r>
        <w:br/>
      </w:r>
      <w:r>
        <w:rPr>
          <w:rFonts w:ascii="Times New Roman"/>
          <w:b w:val="false"/>
          <w:i w:val="false"/>
          <w:color w:val="000000"/>
          <w:sz w:val="28"/>
        </w:rPr>
        <w:t>
</w:t>
      </w:r>
    </w:p>
    <w:bookmarkStart w:name="z124"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Ревизионной комиссии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Ревизионной комиссией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129"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"Ревизионная</w:t>
            </w:r>
            <w:r>
              <w:br/>
            </w:r>
            <w:r>
              <w:rPr>
                <w:rFonts w:ascii="Times New Roman"/>
                <w:b w:val="false"/>
                <w:i w:val="false"/>
                <w:color w:val="000000"/>
                <w:sz w:val="20"/>
              </w:rPr>
              <w:t>комиссия по Костанайской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39" w:id="1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 год</w:t>
      </w:r>
      <w:r>
        <w:br/>
      </w:r>
      <w:r>
        <w:rPr>
          <w:rFonts w:ascii="Times New Roman"/>
          <w:b w:val="false"/>
          <w:i w:val="false"/>
          <w:color w:val="000000"/>
          <w:sz w:val="28"/>
        </w:rPr>
        <w:t>
      </w:t>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Ф.И.О. (при его наличии) служащего: ___________________________________</w:t>
      </w:r>
      <w:r>
        <w:br/>
      </w:r>
      <w:r>
        <w:rPr>
          <w:rFonts w:ascii="Times New Roman"/>
          <w:b w:val="false"/>
          <w:i w:val="false"/>
          <w:color w:val="000000"/>
          <w:sz w:val="28"/>
        </w:rPr>
        <w:t>
      </w:t>
      </w:r>
      <w:r>
        <w:rPr>
          <w:rFonts w:ascii="Times New Roman"/>
          <w:b w:val="false"/>
          <w:i w:val="false"/>
          <w:color w:val="000000"/>
          <w:sz w:val="28"/>
        </w:rPr>
        <w:t>Должность служащего: 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мероприятия определяются с учетом их направленности на достижение стратегической цели (целей) Ревизионной комиссии, а в случае ее (их) отсутствия, исходя из функциональных обязанностей служащего. Количество и сложность мероприятий должны быть сопоставимы по Ревизионной комиссии.</w:t>
      </w:r>
      <w:r>
        <w:br/>
      </w: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__________ Ф.И.О. (при его наличии) ____________</w:t>
      </w:r>
      <w:r>
        <w:br/>
      </w:r>
      <w:r>
        <w:rPr>
          <w:rFonts w:ascii="Times New Roman"/>
          <w:b w:val="false"/>
          <w:i w:val="false"/>
          <w:color w:val="000000"/>
          <w:sz w:val="28"/>
        </w:rPr>
        <w:t>
      </w:t>
      </w:r>
      <w:r>
        <w:rPr>
          <w:rFonts w:ascii="Times New Roman"/>
          <w:b w:val="false"/>
          <w:i w:val="false"/>
          <w:color w:val="000000"/>
          <w:sz w:val="28"/>
        </w:rPr>
        <w:t>дата ____________________________ дата ______________________________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_________________________ подпись 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"Ревизионная</w:t>
            </w:r>
            <w:r>
              <w:br/>
            </w:r>
            <w:r>
              <w:rPr>
                <w:rFonts w:ascii="Times New Roman"/>
                <w:b w:val="false"/>
                <w:i w:val="false"/>
                <w:color w:val="000000"/>
                <w:sz w:val="20"/>
              </w:rPr>
              <w:t>комиссия по Костанайской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59" w:id="17"/>
    <w:p>
      <w:pPr>
        <w:spacing w:after="0"/>
        <w:ind w:left="0"/>
        <w:jc w:val="left"/>
      </w:pPr>
      <w:r>
        <w:rPr>
          <w:rFonts w:ascii="Times New Roman"/>
          <w:b/>
          <w:i w:val="false"/>
          <w:color w:val="000000"/>
        </w:rPr>
        <w:t xml:space="preserve"> Оценочный лист</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 квартал ____ года</w:t>
      </w:r>
      <w:r>
        <w:br/>
      </w:r>
      <w:r>
        <w:rPr>
          <w:rFonts w:ascii="Times New Roman"/>
          <w:b w:val="false"/>
          <w:i w:val="false"/>
          <w:color w:val="000000"/>
          <w:sz w:val="28"/>
        </w:rPr>
        <w:t>
      </w:t>
      </w:r>
      <w:r>
        <w:rPr>
          <w:rFonts w:ascii="Times New Roman"/>
          <w:b w:val="false"/>
          <w:i w:val="false"/>
          <w:color w:val="000000"/>
          <w:sz w:val="28"/>
        </w:rPr>
        <w:t>(оцениваемый период)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1890"/>
        <w:gridCol w:w="1641"/>
        <w:gridCol w:w="1641"/>
        <w:gridCol w:w="1890"/>
        <w:gridCol w:w="1642"/>
        <w:gridCol w:w="1642"/>
        <w:gridCol w:w="1059"/>
      </w:tblGrid>
      <w:tr>
        <w:trPr>
          <w:trHeight w:val="30" w:hRule="atLeast"/>
        </w:trPr>
        <w:tc>
          <w:tcPr>
            <w:tcW w:w="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__________ Ф.И.О. (при его наличии) _________</w:t>
      </w:r>
      <w:r>
        <w:br/>
      </w:r>
      <w:r>
        <w:rPr>
          <w:rFonts w:ascii="Times New Roman"/>
          <w:b w:val="false"/>
          <w:i w:val="false"/>
          <w:color w:val="000000"/>
          <w:sz w:val="28"/>
        </w:rPr>
        <w:t>
      </w:t>
      </w:r>
      <w:r>
        <w:rPr>
          <w:rFonts w:ascii="Times New Roman"/>
          <w:b w:val="false"/>
          <w:i w:val="false"/>
          <w:color w:val="000000"/>
          <w:sz w:val="28"/>
        </w:rPr>
        <w:t>дата ____________________________ дата 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"Ревизионная</w:t>
            </w:r>
            <w:r>
              <w:br/>
            </w:r>
            <w:r>
              <w:rPr>
                <w:rFonts w:ascii="Times New Roman"/>
                <w:b w:val="false"/>
                <w:i w:val="false"/>
                <w:color w:val="000000"/>
                <w:sz w:val="20"/>
              </w:rPr>
              <w:t>комиссия по Костанайской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79" w:id="22"/>
    <w:p>
      <w:pPr>
        <w:spacing w:after="0"/>
        <w:ind w:left="0"/>
        <w:jc w:val="left"/>
      </w:pPr>
      <w:r>
        <w:rPr>
          <w:rFonts w:ascii="Times New Roman"/>
          <w:b/>
          <w:i w:val="false"/>
          <w:color w:val="000000"/>
        </w:rPr>
        <w:t xml:space="preserve"> Оценочный лист</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 год</w:t>
      </w:r>
      <w:r>
        <w:br/>
      </w:r>
      <w:r>
        <w:rPr>
          <w:rFonts w:ascii="Times New Roman"/>
          <w:b w:val="false"/>
          <w:i w:val="false"/>
          <w:color w:val="000000"/>
          <w:sz w:val="28"/>
        </w:rPr>
        <w:t>
      </w:t>
      </w:r>
      <w:r>
        <w:rPr>
          <w:rFonts w:ascii="Times New Roman"/>
          <w:b w:val="false"/>
          <w:i w:val="false"/>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2"/>
        <w:gridCol w:w="2195"/>
        <w:gridCol w:w="3951"/>
        <w:gridCol w:w="1653"/>
        <w:gridCol w:w="1654"/>
        <w:gridCol w:w="735"/>
      </w:tblGrid>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23"/>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3"/>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_________ Ф.И.О. (при его наличии) _________</w:t>
      </w:r>
      <w:r>
        <w:br/>
      </w:r>
      <w:r>
        <w:rPr>
          <w:rFonts w:ascii="Times New Roman"/>
          <w:b w:val="false"/>
          <w:i w:val="false"/>
          <w:color w:val="000000"/>
          <w:sz w:val="28"/>
        </w:rPr>
        <w:t>
      </w:t>
      </w:r>
      <w:r>
        <w:rPr>
          <w:rFonts w:ascii="Times New Roman"/>
          <w:b w:val="false"/>
          <w:i w:val="false"/>
          <w:color w:val="000000"/>
          <w:sz w:val="28"/>
        </w:rPr>
        <w:t>дата ___________________________ дата ___________________________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________________________ подпись 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"Ревизионная</w:t>
            </w:r>
            <w:r>
              <w:br/>
            </w:r>
            <w:r>
              <w:rPr>
                <w:rFonts w:ascii="Times New Roman"/>
                <w:b w:val="false"/>
                <w:i w:val="false"/>
                <w:color w:val="000000"/>
                <w:sz w:val="20"/>
              </w:rPr>
              <w:t>комиссия по Костанайской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98" w:id="28"/>
    <w:p>
      <w:pPr>
        <w:spacing w:after="0"/>
        <w:ind w:left="0"/>
        <w:jc w:val="left"/>
      </w:pPr>
      <w:r>
        <w:rPr>
          <w:rFonts w:ascii="Times New Roman"/>
          <w:b/>
          <w:i w:val="false"/>
          <w:color w:val="000000"/>
        </w:rPr>
        <w:t xml:space="preserve"> Лист круговой оценки</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 год</w:t>
      </w:r>
      <w:r>
        <w:br/>
      </w:r>
      <w:r>
        <w:rPr>
          <w:rFonts w:ascii="Times New Roman"/>
          <w:b w:val="false"/>
          <w:i w:val="false"/>
          <w:color w:val="000000"/>
          <w:sz w:val="28"/>
        </w:rPr>
        <w:t>
      </w:t>
      </w:r>
      <w:r>
        <w:rPr>
          <w:rFonts w:ascii="Times New Roman"/>
          <w:b w:val="false"/>
          <w:i w:val="false"/>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096"/>
        <w:gridCol w:w="4755"/>
        <w:gridCol w:w="290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29"/>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30"/>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bookmarkEnd w:id="30"/>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34"/>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bookmarkEnd w:id="34"/>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ИТОГО:</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8"/>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bookmarkEnd w:id="38"/>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"Ревизионная</w:t>
            </w:r>
            <w:r>
              <w:br/>
            </w:r>
            <w:r>
              <w:rPr>
                <w:rFonts w:ascii="Times New Roman"/>
                <w:b w:val="false"/>
                <w:i w:val="false"/>
                <w:color w:val="000000"/>
                <w:sz w:val="20"/>
              </w:rPr>
              <w:t>комиссия по Костанайской</w:t>
            </w:r>
            <w:r>
              <w:br/>
            </w:r>
            <w:r>
              <w:rPr>
                <w:rFonts w:ascii="Times New Roman"/>
                <w:b w:val="false"/>
                <w:i w:val="false"/>
                <w:color w:val="000000"/>
                <w:sz w:val="20"/>
              </w:rPr>
              <w:t>области"</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221" w:id="41"/>
    <w:p>
      <w:pPr>
        <w:spacing w:after="0"/>
        <w:ind w:left="0"/>
        <w:jc w:val="left"/>
      </w:pPr>
      <w:r>
        <w:rPr>
          <w:rFonts w:ascii="Times New Roman"/>
          <w:b/>
          <w:i w:val="false"/>
          <w:color w:val="000000"/>
        </w:rPr>
        <w:t xml:space="preserve"> Протокол заседания Комиссии по оценке</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_____________________________________________</w:t>
      </w:r>
      <w:r>
        <w:br/>
      </w:r>
      <w:r>
        <w:rPr>
          <w:rFonts w:ascii="Times New Roman"/>
          <w:b w:val="false"/>
          <w:i w:val="false"/>
          <w:color w:val="000000"/>
          <w:sz w:val="28"/>
        </w:rPr>
        <w:t>
      </w:t>
      </w:r>
      <w:r>
        <w:rPr>
          <w:rFonts w:ascii="Times New Roman"/>
          <w:b w:val="false"/>
          <w:i w:val="false"/>
          <w:color w:val="000000"/>
          <w:sz w:val="28"/>
        </w:rPr>
        <w:t>(вид оценки: квартальная/годовая и оцениваемый период (квартал и (или) год)</w:t>
      </w:r>
      <w:r>
        <w:br/>
      </w:r>
      <w:r>
        <w:rPr>
          <w:rFonts w:ascii="Times New Roman"/>
          <w:b w:val="false"/>
          <w:i w:val="false"/>
          <w:color w:val="000000"/>
          <w:sz w:val="28"/>
        </w:rPr>
        <w:t>
      </w:t>
      </w:r>
      <w:r>
        <w:rPr>
          <w:rFonts w:ascii="Times New Roman"/>
          <w:b w:val="false"/>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42"/>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2"/>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служащих</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w:t>
      </w:r>
      <w:r>
        <w:br/>
      </w:r>
      <w:r>
        <w:rPr>
          <w:rFonts w:ascii="Times New Roman"/>
          <w:b w:val="false"/>
          <w:i w:val="false"/>
          <w:color w:val="000000"/>
          <w:sz w:val="28"/>
        </w:rPr>
        <w:t>
      </w:t>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 __________________________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Член Комиссии: ______________________________ Дата: ______________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