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733" w14:textId="7cb3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критериев и требований по направлению субсидирования возмещения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мая 2016 года № 242. Зарегистрировано Департаментом юстиции Костанайской области 13 июня 2016 года № 6448. Утратило силу постановлением акимата Костанайской области от 28 марта 2017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9987)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субсидий, а также критерии и требования по направлению субсидирования возмещения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июля 2015 года № 314 "Об утверждении норматива субсидий, а также критериев и требований по направлению субсидирования возмещение до 100% затрат по искусственному осеменению маточного поголовья крупного рогатого скота в личных подсобных хозяйствах" (зарегистрировано в Реестре государственной регистрации нормативных правовых актов под № 5848, опубликовано 8 сентября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242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по направлению субсидирования возмещения до 100% затрат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в крестьянских (фермерских),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и производственных кооперативах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Норматив субсидий по направлению субсидирования возмещения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 – 4673 тенге за одну маточную голову.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Критерии и требования по направлению субсидирования возмещения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регистрации физических и юридических лиц (поставщиков услуг по искусственному осеменению животных), в реестре субъектов в области племенного животноводства Республики Казахстан в качестве техника-осеменатора, дистрибьютерного центра, племенного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