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7c51" w14:textId="b007c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стоимости услуг по подаче воды сельскохозяйственным товаропроизводителям"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12 мая 2016 года № 219. Зарегистрировано Департаментом юстиции Костанайской области 6 июня 2016 года № 6421. Утратило силу постановлением акимата Костанайской области от 8 января 2020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08.01.2020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Костанайской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2016 года № 219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стоимости услуг по подаче воды сельскохозяйственным товаропроизводителям"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11.07.2019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Государственная услуга "Субсидирование стоимости услуг по подаче воды сельскохозяйственным товаропроизводителям" (далее – государственная услуга) оказывается местным исполнительным органом области (государственное учреждение "Управление сельского хозяйства и земельных отношений акимата Костанайской области") (далее – услугодатель).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результатах рассмотрения заявки на получение субсидий или отказ в предоставлении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</w:t>
      </w:r>
      <w:r>
        <w:rPr>
          <w:rFonts w:ascii="Times New Roman"/>
          <w:b w:val="false"/>
          <w:i w:val="false"/>
          <w:color w:val="000000"/>
          <w:sz w:val="28"/>
        </w:rPr>
        <w:t>стандарту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стоимости услуг по подаче воды сельскохозяйственным товаропроизводителям", утвержденного приказом Министра сельского хозяйства Республики Казахстан от 8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6-4/1072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12933) (далее – Стандарт)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представления результата оказания государственной услуги – электронная.</w:t>
      </w:r>
    </w:p>
    <w:bookmarkEnd w:id="9"/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направляется на адрес электронной почты, указанной услугополучателем при регистрации в информационной системе субсидирования.</w:t>
      </w:r>
    </w:p>
    <w:bookmarkEnd w:id="10"/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2"/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4"/>
    <w:bookmarkStart w:name="z2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заполнения полей электронной заявки и прикрепление пакета документов;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электронной заявки для оказания электронной государственной услуги посредством ЭЦП;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электронной заявки услугополучателя;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уведомления о статусе электронной заявки и сроке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 "личный кабинет" услугополучателя на Портале;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Функциональные взаимодействия информационных систем, задействованных в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 по подаче воды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товаропроизводителям"</w:t>
            </w: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"Субсидирование стоимости услуг по подаче воды сельскохозяйственным товаропроизводителям"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8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8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2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