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0f1d" w14:textId="0960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границах ценового зонирования и поправочных коэффициентов к базовым ставкам платы за земельные участки по селе Мангистау</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21 октября 2016 года № 4/67. Зарегистрировано Департаментом юстиции Мангистауской области от 02 декабря 2016 года № 3203</w:t>
      </w:r>
    </w:p>
    <w:p>
      <w:pPr>
        <w:spacing w:after="0"/>
        <w:ind w:left="0"/>
        <w:jc w:val="left"/>
      </w:pP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20 июня 2003 года №442 Мунайлинский районный маслихат РЕШИЛ:</w:t>
      </w:r>
      <w:r>
        <w:br/>
      </w:r>
      <w:r>
        <w:rPr>
          <w:rFonts w:ascii="Times New Roman"/>
          <w:b w:val="false"/>
          <w:i w:val="false"/>
          <w:color w:val="000000"/>
          <w:sz w:val="28"/>
        </w:rPr>
        <w:t>
      </w:t>
      </w:r>
      <w:r>
        <w:rPr>
          <w:rFonts w:ascii="Times New Roman"/>
          <w:b w:val="false"/>
          <w:i w:val="false"/>
          <w:color w:val="000000"/>
          <w:sz w:val="28"/>
        </w:rPr>
        <w:t xml:space="preserve">1. Утвердить схему ценового зонирования и поправочные коэффициенты к базовым ставкам платы за земельные участки и характеристику зон земель села Мангистау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xml:space="preserve">2. Руководителю аппарата Мунайлинского районного маслихата (Жанбуршина А.) обеспечить государственную регистрацию настоящего решения в органах юстиции, его официальное опубликование в информационно-правовой системе "Әділет" и в средствах массовой информации. </w:t>
      </w:r>
      <w:r>
        <w:br/>
      </w:r>
      <w:r>
        <w:rPr>
          <w:rFonts w:ascii="Times New Roman"/>
          <w:b w:val="false"/>
          <w:i w:val="false"/>
          <w:color w:val="000000"/>
          <w:sz w:val="28"/>
        </w:rPr>
        <w:t>
      </w:t>
      </w:r>
      <w:r>
        <w:rPr>
          <w:rFonts w:ascii="Times New Roman"/>
          <w:b w:val="false"/>
          <w:i w:val="false"/>
          <w:color w:val="000000"/>
          <w:sz w:val="28"/>
        </w:rPr>
        <w:t>3. Контроль за исполнением настоящего решения возложить на постоянную комиссию Мунайлинского районного маслихата по социальным вопросам, законности, правопорядка, по депутатским полномочиям и этике (председатель комиссии Конысбаева Г).</w:t>
      </w:r>
      <w:r>
        <w:br/>
      </w:r>
      <w:r>
        <w:rPr>
          <w:rFonts w:ascii="Times New Roman"/>
          <w:b w:val="false"/>
          <w:i w:val="false"/>
          <w:color w:val="000000"/>
          <w:sz w:val="28"/>
        </w:rPr>
        <w:t>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Б.Казахбаев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"СОГЛАСОВАНО" </w:t>
      </w:r>
      <w:r>
        <w:br/>
      </w:r>
      <w:r>
        <w:rPr>
          <w:rFonts w:ascii="Times New Roman"/>
          <w:b w:val="false"/>
          <w:i w:val="false"/>
          <w:color w:val="000000"/>
          <w:sz w:val="28"/>
        </w:rPr>
        <w:t xml:space="preserve">
      Руководитель государственного </w:t>
      </w:r>
      <w:r>
        <w:br/>
      </w:r>
      <w:r>
        <w:rPr>
          <w:rFonts w:ascii="Times New Roman"/>
          <w:b w:val="false"/>
          <w:i w:val="false"/>
          <w:color w:val="000000"/>
          <w:sz w:val="28"/>
        </w:rPr>
        <w:t>
      учреждения "Мунайлинский</w:t>
      </w:r>
      <w:r>
        <w:br/>
      </w:r>
      <w:r>
        <w:rPr>
          <w:rFonts w:ascii="Times New Roman"/>
          <w:b w:val="false"/>
          <w:i w:val="false"/>
          <w:color w:val="000000"/>
          <w:sz w:val="28"/>
        </w:rPr>
        <w:t xml:space="preserve">
      районный отдел земельных отношений" </w:t>
      </w:r>
      <w:r>
        <w:br/>
      </w:r>
      <w:r>
        <w:rPr>
          <w:rFonts w:ascii="Times New Roman"/>
          <w:b w:val="false"/>
          <w:i w:val="false"/>
          <w:color w:val="000000"/>
          <w:sz w:val="28"/>
        </w:rPr>
        <w:t xml:space="preserve">
      Отегенов А. </w:t>
      </w:r>
      <w:r>
        <w:br/>
      </w:r>
      <w:r>
        <w:rPr>
          <w:rFonts w:ascii="Times New Roman"/>
          <w:b w:val="false"/>
          <w:i w:val="false"/>
          <w:color w:val="000000"/>
          <w:sz w:val="28"/>
        </w:rPr>
        <w:t>
      27 октября 2016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Мунайлинского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 21 октября 2016года </w:t>
            </w:r>
          </w:p>
        </w:tc>
      </w:tr>
    </w:tbl>
    <w:p>
      <w:pPr>
        <w:spacing w:after="0"/>
        <w:ind w:left="0"/>
        <w:jc w:val="left"/>
      </w:pPr>
      <w:r>
        <w:rPr>
          <w:rFonts w:ascii="Times New Roman"/>
          <w:b/>
          <w:i w:val="false"/>
          <w:color w:val="000000"/>
        </w:rPr>
        <w:t xml:space="preserve"> Схема  ценового зонирования территории села Мангистау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решению Мунайлинского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№4/67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от 21 октября 2016года </w:t>
            </w:r>
          </w:p>
        </w:tc>
      </w:tr>
    </w:tbl>
    <w:p>
      <w:pPr>
        <w:spacing w:after="0"/>
        <w:ind w:left="0"/>
        <w:jc w:val="left"/>
      </w:pPr>
      <w:r>
        <w:rPr>
          <w:rFonts w:ascii="Times New Roman"/>
          <w:b/>
          <w:i w:val="false"/>
          <w:color w:val="000000"/>
        </w:rPr>
        <w:t xml:space="preserve"> Поправочные коэффициенты к базовым ставкам платы за земельные участки и характеристика зон земель села Мангистау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6849"/>
        <w:gridCol w:w="3525"/>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Зона №</w:t>
            </w: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Территории вошедшие в зону</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Коэффициенты по ценовой зоне</w:t>
            </w: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Селитебная, двухэтажные и зона в которые входит центральные части построенных частных домов</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Промышленная зона</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Селитебная, зона в которую входит жилой массив сторительство построенных частных жилых домов</w:t>
            </w:r>
            <w:r>
              <w:br/>
            </w:r>
            <w:r>
              <w:rPr>
                <w:rFonts w:ascii="Times New Roman"/>
                <w:b w:val="false"/>
                <w:i w:val="false"/>
                <w:color w:val="000000"/>
                <w:sz w:val="20"/>
              </w:rPr>
              <w:t>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Характеристика зон</w:t>
      </w:r>
    </w:p>
    <w:p>
      <w:pPr>
        <w:spacing w:after="0"/>
        <w:ind w:left="0"/>
        <w:jc w:val="left"/>
      </w:pPr>
      <w:r>
        <w:rPr>
          <w:rFonts w:ascii="Times New Roman"/>
          <w:b w:val="false"/>
          <w:i w:val="false"/>
          <w:color w:val="000000"/>
          <w:sz w:val="28"/>
        </w:rPr>
        <w:t>      </w:t>
      </w:r>
      <w:r>
        <w:rPr>
          <w:rFonts w:ascii="Times New Roman"/>
          <w:b/>
          <w:i w:val="false"/>
          <w:color w:val="000000"/>
          <w:sz w:val="28"/>
        </w:rPr>
        <w:t xml:space="preserve">1 зона – </w:t>
      </w:r>
      <w:r>
        <w:rPr>
          <w:rFonts w:ascii="Times New Roman"/>
          <w:b w:val="false"/>
          <w:i w:val="false"/>
          <w:color w:val="000000"/>
          <w:sz w:val="28"/>
        </w:rPr>
        <w:t>Селитебная, двухэтажные и зона в которые входит центральные части построенных частных жилых домов. Здесь расположены основные административные здания, общеобразовательные школы, спорт школы, дом культуры, дом связи, библиотека, поликлиника, больничный городок, мечеть, рынок, гостиница, сеть частных мелких магазинов, кафе, рестораны</w:t>
      </w:r>
      <w:r>
        <w:br/>
      </w:r>
      <w:r>
        <w:rPr>
          <w:rFonts w:ascii="Times New Roman"/>
          <w:b w:val="false"/>
          <w:i w:val="false"/>
          <w:color w:val="000000"/>
          <w:sz w:val="28"/>
        </w:rPr>
        <w:t>
      </w:t>
      </w:r>
      <w:r>
        <w:rPr>
          <w:rFonts w:ascii="Times New Roman"/>
          <w:b/>
          <w:i w:val="false"/>
          <w:color w:val="000000"/>
          <w:sz w:val="28"/>
        </w:rPr>
        <w:t>2 зона</w:t>
      </w:r>
      <w:r>
        <w:rPr>
          <w:rFonts w:ascii="Times New Roman"/>
          <w:b w:val="false"/>
          <w:i w:val="false"/>
          <w:color w:val="000000"/>
          <w:sz w:val="28"/>
        </w:rPr>
        <w:t xml:space="preserve"> – Промышленная зона</w:t>
      </w:r>
      <w:r>
        <w:br/>
      </w:r>
      <w:r>
        <w:rPr>
          <w:rFonts w:ascii="Times New Roman"/>
          <w:b w:val="false"/>
          <w:i w:val="false"/>
          <w:color w:val="000000"/>
          <w:sz w:val="28"/>
        </w:rPr>
        <w:t>
      </w:t>
      </w:r>
      <w:r>
        <w:rPr>
          <w:rFonts w:ascii="Times New Roman"/>
          <w:b/>
          <w:i w:val="false"/>
          <w:color w:val="000000"/>
          <w:sz w:val="28"/>
        </w:rPr>
        <w:t>3 зона</w:t>
      </w:r>
      <w:r>
        <w:rPr>
          <w:rFonts w:ascii="Times New Roman"/>
          <w:b w:val="false"/>
          <w:i w:val="false"/>
          <w:color w:val="000000"/>
          <w:sz w:val="28"/>
        </w:rPr>
        <w:t xml:space="preserve"> – Селитебная, зона в которую входит жилой массив сторительство построенных частных жилых домов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