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0f1d" w14:textId="0960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границах ценового зонирования и поправочных коэффициентов к базовым ставкам платы за земельные участки по селе Мангистау</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21 октября 2016 года № 4/67. Зарегистрировано Департаментом юстиции Мангистауской области от 02 декабря 2016 года № 3203</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№442 Мунайлинский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xml:space="preserve">1. Утвердить схему ценового зонирования и поправочные коэффициенты к базовым ставкам платы за земельные участки и характеристику зон земель села Мангистау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Руководителю аппарата Мунайлинского районного маслихата (Жанбуршина А.)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Конысбаева Г).</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государственного </w:t>
      </w:r>
      <w:r>
        <w:br/>
      </w:r>
      <w:r>
        <w:rPr>
          <w:rFonts w:ascii="Times New Roman"/>
          <w:b w:val="false"/>
          <w:i w:val="false"/>
          <w:color w:val="000000"/>
          <w:sz w:val="28"/>
        </w:rPr>
        <w:t>
      учреждения "Мунайлинский</w:t>
      </w:r>
      <w:r>
        <w:br/>
      </w:r>
      <w:r>
        <w:rPr>
          <w:rFonts w:ascii="Times New Roman"/>
          <w:b w:val="false"/>
          <w:i w:val="false"/>
          <w:color w:val="000000"/>
          <w:sz w:val="28"/>
        </w:rPr>
        <w:t xml:space="preserve">
      районный отдел земельных отношений" </w:t>
      </w:r>
      <w:r>
        <w:br/>
      </w:r>
      <w:r>
        <w:rPr>
          <w:rFonts w:ascii="Times New Roman"/>
          <w:b w:val="false"/>
          <w:i w:val="false"/>
          <w:color w:val="000000"/>
          <w:sz w:val="28"/>
        </w:rPr>
        <w:t xml:space="preserve">
      Отегенов А. </w:t>
      </w:r>
      <w:r>
        <w:br/>
      </w:r>
      <w:r>
        <w:rPr>
          <w:rFonts w:ascii="Times New Roman"/>
          <w:b w:val="false"/>
          <w:i w:val="false"/>
          <w:color w:val="000000"/>
          <w:sz w:val="28"/>
        </w:rPr>
        <w:t>
      27 октября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21 октября 2016года </w:t>
            </w:r>
          </w:p>
        </w:tc>
      </w:tr>
    </w:tbl>
    <w:p>
      <w:pPr>
        <w:spacing w:after="0"/>
        <w:ind w:left="0"/>
        <w:jc w:val="left"/>
      </w:pPr>
      <w:r>
        <w:rPr>
          <w:rFonts w:ascii="Times New Roman"/>
          <w:b/>
          <w:i w:val="false"/>
          <w:color w:val="000000"/>
        </w:rPr>
        <w:t xml:space="preserve"> Схема  ценового зонирования территории села Мангистау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21 октября 2016года </w:t>
            </w:r>
          </w:p>
        </w:tc>
      </w:tr>
    </w:tbl>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и характеристика зон земель села Мангистау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6849"/>
        <w:gridCol w:w="3525"/>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Зона №</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Территории вошедшие в зону</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Коэффициенты по ценовой зоне</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Селитебная, двухэтажные и зона в которые входит центральные части построенных частных домов</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Промышленная зона</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Селитебная, зона в которую входит жилой массив сторительство построенных частных жилых домов</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Характеристика зон</w:t>
      </w:r>
    </w:p>
    <w:p>
      <w:pPr>
        <w:spacing w:after="0"/>
        <w:ind w:left="0"/>
        <w:jc w:val="left"/>
      </w:pPr>
      <w:r>
        <w:rPr>
          <w:rFonts w:ascii="Times New Roman"/>
          <w:b w:val="false"/>
          <w:i w:val="false"/>
          <w:color w:val="000000"/>
          <w:sz w:val="28"/>
        </w:rPr>
        <w:t>      </w:t>
      </w:r>
      <w:r>
        <w:rPr>
          <w:rFonts w:ascii="Times New Roman"/>
          <w:b/>
          <w:i w:val="false"/>
          <w:color w:val="000000"/>
          <w:sz w:val="28"/>
        </w:rPr>
        <w:t xml:space="preserve">1 зона – </w:t>
      </w:r>
      <w:r>
        <w:rPr>
          <w:rFonts w:ascii="Times New Roman"/>
          <w:b w:val="false"/>
          <w:i w:val="false"/>
          <w:color w:val="000000"/>
          <w:sz w:val="28"/>
        </w:rPr>
        <w:t>Селитебная, двухэтажные и зона в которые входит центральные части построенных частных жилых домов. Здесь расположены основные административные здания, общеобразовательные школы, спорт школы, дом культуры, дом связи, библиотека, поликлиника, больничный городок, мечеть, рынок, гостиница, сеть частных мелких магазинов, кафе, рестораны</w:t>
      </w:r>
      <w:r>
        <w:br/>
      </w:r>
      <w:r>
        <w:rPr>
          <w:rFonts w:ascii="Times New Roman"/>
          <w:b w:val="false"/>
          <w:i w:val="false"/>
          <w:color w:val="000000"/>
          <w:sz w:val="28"/>
        </w:rPr>
        <w:t>
      </w:t>
      </w:r>
      <w:r>
        <w:rPr>
          <w:rFonts w:ascii="Times New Roman"/>
          <w:b/>
          <w:i w:val="false"/>
          <w:color w:val="000000"/>
          <w:sz w:val="28"/>
        </w:rPr>
        <w:t>2 зона</w:t>
      </w:r>
      <w:r>
        <w:rPr>
          <w:rFonts w:ascii="Times New Roman"/>
          <w:b w:val="false"/>
          <w:i w:val="false"/>
          <w:color w:val="000000"/>
          <w:sz w:val="28"/>
        </w:rPr>
        <w:t xml:space="preserve"> – Промышленная зона</w:t>
      </w:r>
      <w:r>
        <w:br/>
      </w:r>
      <w:r>
        <w:rPr>
          <w:rFonts w:ascii="Times New Roman"/>
          <w:b w:val="false"/>
          <w:i w:val="false"/>
          <w:color w:val="000000"/>
          <w:sz w:val="28"/>
        </w:rPr>
        <w:t>
      </w:t>
      </w:r>
      <w:r>
        <w:rPr>
          <w:rFonts w:ascii="Times New Roman"/>
          <w:b/>
          <w:i w:val="false"/>
          <w:color w:val="000000"/>
          <w:sz w:val="28"/>
        </w:rPr>
        <w:t>3 зона</w:t>
      </w:r>
      <w:r>
        <w:rPr>
          <w:rFonts w:ascii="Times New Roman"/>
          <w:b w:val="false"/>
          <w:i w:val="false"/>
          <w:color w:val="000000"/>
          <w:sz w:val="28"/>
        </w:rPr>
        <w:t xml:space="preserve"> – Селитебная, зона в которую входит жилой массив сторительство построенных частных жилых домов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