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dbbb" w14:textId="fe2d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Тупкараганского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15 марта 2016 года № 39/271. Зарегистрировано Департаментом юстиции Мангистауской области от 20 апреля 2016 года № 3018. Утратило силу-решением Тупкараганского районного маслихата Мангистауской области от 20 февраля 2017 года № 9/76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Тупкараганского районного маслихата Мангистауской области от 20.02.2017 </w:t>
      </w:r>
      <w:r>
        <w:rPr>
          <w:rFonts w:ascii="Times New Roman"/>
          <w:b w:val="false"/>
          <w:i w:val="false"/>
          <w:color w:val="ff0000"/>
          <w:sz w:val="28"/>
        </w:rPr>
        <w:t>№ 9/76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и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12705), Тупкараганский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 государственного учреждения "Аппарат Тупкараганского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Тупкараганского районного маслихата (А.Избен)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 - 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Туркараганского районного маслихата (А.Избен).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марта 2016 года №39/271</w:t>
            </w:r>
          </w:p>
        </w:tc>
      </w:tr>
    </w:tbl>
    <w:bookmarkStart w:name="z17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Тупкараганского районного маслихата"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Тупкараганского районного маслихата" (далее -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</w:t>
      </w:r>
      <w:r>
        <w:rPr>
          <w:rFonts w:ascii="Times New Roman"/>
          <w:b w:val="false"/>
          <w:i w:val="false"/>
          <w:color w:val="000000"/>
          <w:sz w:val="28"/>
        </w:rPr>
        <w:t>служащих корпуса "Б" (далее -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(далее - оценка) проводится для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эффективности и качества их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Оценка проводится по результатам деятельности служащего на </w:t>
      </w:r>
      <w:r>
        <w:rPr>
          <w:rFonts w:ascii="Times New Roman"/>
          <w:b w:val="false"/>
          <w:i w:val="false"/>
          <w:color w:val="000000"/>
          <w:sz w:val="28"/>
        </w:rPr>
        <w:t>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- не позднее десятого числа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- не позднее двадцать пятого декабря оцениваемого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секретарем районного маслихата, имеющим право назначения на государственную должность и освобождения от государственной должности служащего создается Комиссия по оценке (далее-Комиссия).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секретарь Тупкараганского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по кадровым вопросам государственного учреждения "Аппарат Тупкараганского районного маслихата" (далее – сотрудник по кадровым вопросам).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составляется не позднее первого января следующего года, служащим и его непосредственным руководителем совместно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срока, индивидуальный план работы служащего на занимаемой должности составляется в течение десяти рабочих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(Ф.И.О. (при его наличии), занимаемая должность, наименование структурного подразделения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сотруднику по кадровым вопросам. Второй экземпляр находится у руководителя аппарата.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Сотрудник по кадровым вопросам формирует график проведения 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Сотрудник по кадровым вопросам обеспечивает своевременное уведомление служащего, подлежащего оценке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 органом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секретаря районного маслихата, руководителя аппарата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сотрудника по кадровым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выставляются штафные баллы в размере "-2"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сотрудником по кадровым вопросам сведений о фактах нарушения служащим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не может служить препятствием для направления документов на заседание Комиссии. В этом случае сотрудником по кадровым вопросам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не может служить препятствием для направления документов на заседание Комиссии по оценке. В этом случае сотрудником по кадровым вопросам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- лиц, занимающих должности в аппарате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определяется сотрудником по кадровым вопросам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сотрудником по кадровым вопросам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Сотрудник по кадровым вопросам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∑кв= 100 + а – b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∑кв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вычисляется сотрудником по кадровым вопросам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∑год = 0,3*∑кв. + 0,6*∑ИП + 0,1*∑к,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∑год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∑кв.-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значению "неудовлетворительно" (менее 80 баллов) присваиваются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значению "удовлетворительно" (от 80 до 105 баллов) - 3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- 4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-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∑ИП -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∑к -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Сотрудник по кадровым вопросам обеспечивает проведение заседания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Сотрудник по кадровым вопросам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оценки.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сотрудником по кадровым вопросам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Сотрудник по кадровым вопросам ознакамливает служащего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сотрудником по кадровым вопросам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подписанный протокол заседания Комиссии хранятся у сотрудника по кадровым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47. Результаты оценки являются основаниями для принятия решений </w:t>
      </w:r>
      <w:r>
        <w:rPr>
          <w:rFonts w:ascii="Times New Roman"/>
          <w:b w:val="false"/>
          <w:i w:val="false"/>
          <w:color w:val="000000"/>
          <w:sz w:val="28"/>
        </w:rPr>
        <w:t>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проводится по направлению, по которому деятельность служащего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государственного служащего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5"/>
        <w:gridCol w:w="5681"/>
        <w:gridCol w:w="2124"/>
      </w:tblGrid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* мероприятия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 (их)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       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                        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дата__________________                   дата________________________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подпись_______________                  подпись_____________________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___________________квартал _______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1"/>
        <w:gridCol w:w="3604"/>
        <w:gridCol w:w="15"/>
        <w:gridCol w:w="3087"/>
        <w:gridCol w:w="3087"/>
        <w:gridCol w:w="9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                   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                        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дата__________________                  дата________________________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подпись_______________                   подпись_____________________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7"/>
        <w:gridCol w:w="1061"/>
        <w:gridCol w:w="4619"/>
        <w:gridCol w:w="1655"/>
        <w:gridCol w:w="1655"/>
        <w:gridCol w:w="1063"/>
      </w:tblGrid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                  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                        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                  дата________________________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подпись_______________                   подпись_____________________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(квартал и (или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Заключение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