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6fb8" w14:textId="9b96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февраля 2016 года № 383. Зарегистрировано Департаментом юстиции Кызылординской области 01 апреля 2016 года № 5430. Утратило силу решением Сырдарьинского районного маслихата Кызылординской области от 28 февраля 2018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Сырдарьинского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 приостановлено до 01.01.2018 – решением Сырдарьинского районного маслихата Кызылординской области от 28.08.2017 </w:t>
      </w:r>
      <w:r>
        <w:rPr>
          <w:rFonts w:ascii="Times New Roman"/>
          <w:b w:val="false"/>
          <w:i w:val="false"/>
          <w:color w:val="000000"/>
          <w:sz w:val="28"/>
        </w:rPr>
        <w:t>№ 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на 50 (пятьдесят) процентов, на основании проектов (схем) зонирования земель, проводимого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Повысить базовые ставки земельного налога в пять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Повысить ставки единого земельного налога в пять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Сырдарьинского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внеочередной ХLVІ сессии районного маслихата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№ 5259 от 10 декабря 2015 года, опубликовано в газете "Тіршілік тынысы" от 19 января 2015 года № 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LІІ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Зетов____________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Сырдарьинскому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Б.Дуйсенов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февраля 2016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