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6b9a" w14:textId="eca6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 апреля 2016 года № 17/02. Зарегистрировано Департаментом юстиции Карагандинской области 22 апреля 2016 года № 3758. Утратило силу постановлением акимата Осакаровского района Карагандинской области от 28 февраля 2020 года № 11/01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28.02.2020 № 11/01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образования,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гражданскими служащими и работающих в сельской местности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0734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Должности специалистов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  <w:bookmarkEnd w:id="6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административно-хозяйственной части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  <w:bookmarkEnd w:id="13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организаций дошкольного, начального, основного среднего, общего среднего образования, специальных (коррекционных) организаций образования, в том числе учитель-дефектолог, учитель-логопед, преподаватель-организатор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  <w:bookmarkEnd w:id="30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интернатом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всех специальностей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  <w:bookmarkEnd w:id="40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Должности специалистов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  <w:bookmarkEnd w:id="46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администратор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  <w:bookmarkEnd w:id="54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5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6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8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  <w:bookmarkEnd w:id="69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обслуживанием: хозяйства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всех специальностей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  <w:bookmarkEnd w:id="76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 световой аппаратуры, видеозаписи, звукозаписи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Должности специалистов в области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  <w:bookmarkEnd w:id="79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отделением надомного обслуживания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  <w:bookmarkEnd w:id="81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детьми-инвалидами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  <w:bookmarkEnd w:id="85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Должности специалистов в области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  <w:bookmarkEnd w:id="88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  <w:bookmarkEnd w:id="92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сестра/брат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  <w:bookmarkEnd w:id="98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хозяйственным обслуживанием (хозяйства)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  <w:bookmarkEnd w:id="105"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