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8b2" w14:textId="9bf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Бухар-Жырауского районного маслихата Карагандинской области от 7 апреля 2016 года № 4. Зарегистрировано Департаментом юстиции Карагандинской области 11 мая 2016 года № 3778. Утратило силу решением Бухар-Жырауского районного маслихата Карагандинской области от 20 декабря 2020 года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20.12.2020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Бухар-Жырауского районного маслихата от 20 августа 2015 года № 6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3410, опубликовано в районной газете "Бұқар жырау жаршысы" № 39 от 3 октября 2015 года, в информационно-правовой системе "Әділет" 28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2016 года № 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 на территории Бухар-Жырауского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парк культуры и отдыха поселка Ботакара, улица Шопаная,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площадь поселка Г.Мустафина, улица Корниенко,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в поселке Ботакара по маршруту: по улице Бухар-Жырау – от пересечения улицы Торежогина до пересечения с улицей Абылай хана, по улице Абылай хана – до площади перед районным Домом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);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продолжения пикета в иной форме (митинг, собрание, шествие) требуется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