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c604" w14:textId="e75c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Абайского районного маслихата Карагандинской области от 3 мая 2016 года № 3/34. Зарегистрировано Департаментом юстиции Карагандинской области 16 мая 2016 года № 3783.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2674, опубликовано в районной газете "Абай-Ақиқат" от 12 июля 2014 года № 27 (4030), в информационно–правовой системе "Әділет" 17 июля 2014 года),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 (далее – Правила),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2 пункта 10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среднедушевого дохода, не превышающего порога в 0,6-кратном отношении к прожиточному минимуму.";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17-1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При обращении заявителя за социальной помощью на основе социального контракта проводится собеседование с гражданином.";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26-1, 26-2, 26-3, 26-4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 социального контракта активизации семьи и индивидуального плана помощи семье" (зарегистрирован в Реестре государственной регистрации нормативных правовых актов за № 10474).";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"26-3.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Шакентаев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мая 2016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Муталяпова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мая 2016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