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fa16" w14:textId="ba4f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№129. Зарегистрировано Департаментом юстиции Жамбылской области 18 мая 2016 года № 3068.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№219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№2786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октября 2015 года в газете "Знамя труда").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25.02.2019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в соответствии со стандартом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№ 11946) (далее – стандарт) оказывается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или сельскохозяйственных кооперативов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селскохозяйственным товаропроизводителям или сельскохозяйственным кооперативам в текущем году и (или) в 4 (четвертом) квартале предыдущего года.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 портал в форме электронного документа, удостоверенного электронной цифровой подписью.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или переводной заявки на субсидирование услугопулучателем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форме электронного документа, удостоверенного электронной цифровой подписью;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в течении 1 (одного) рабочего дня после подписания электронной цифровой подписью, формирует в информационной системе субсидирования платежные поручения;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финансирование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счет услугополучателя;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уведомление о перечислении субсидии либо мотивированный отказ в предоставлении государственной услиги в случаях и по основаниям, предусмотренным пунктом 10 стандарта.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 информационной системе субсидирования платежного поручения на выплату субсидий, согласно плана финансирования и подписание руководителем услугодателя;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о перечислении субсидии либо мотивированный отказ. 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