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b728" w14:textId="423b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Талгарского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29 марта 2016 года № 2-10. Зарегистрировано Департаментом юстиции Алматинской области 05 мая 2016 года № 3803. Утратило силу решением Талгарского районного маслихата Алматинской области от 03 марта 2017 года № 12-75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Сноска. Утратило силу решением Талгарского районного мас</w:t>
      </w:r>
      <w:r>
        <w:rPr>
          <w:rFonts w:ascii="Times New Roman"/>
          <w:b w:val="false"/>
          <w:i/>
          <w:color w:val="000000"/>
          <w:sz w:val="28"/>
        </w:rPr>
        <w:t>лихата Алматинской области от 03.</w:t>
      </w:r>
      <w:r>
        <w:rPr>
          <w:rFonts w:ascii="Times New Roman"/>
          <w:b w:val="false"/>
          <w:i/>
          <w:color w:val="000000"/>
          <w:sz w:val="28"/>
        </w:rPr>
        <w:t>03</w:t>
      </w:r>
      <w:r>
        <w:rPr>
          <w:rFonts w:ascii="Times New Roman"/>
          <w:b w:val="false"/>
          <w:i/>
          <w:color w:val="000000"/>
          <w:sz w:val="28"/>
        </w:rPr>
        <w:t xml:space="preserve">.2017 </w:t>
      </w:r>
      <w:r>
        <w:rPr>
          <w:rFonts w:ascii="Times New Roman"/>
          <w:b w:val="false"/>
          <w:i w:val="false"/>
          <w:color w:val="000000"/>
          <w:sz w:val="28"/>
        </w:rPr>
        <w:t>№ 12-75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Талгарского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Умирзакова Алмаса Нурдаулетовича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Умирзакова Алмаса Нурдаулетовича.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Базилхан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Талгарского районного маслихата от 29 марта 2016 года №2-10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Талгарского районного маслихата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Талгарского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Талгарского районного маслихата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в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Талгарского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Талгарского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Талгарского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Талгарского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Талгарского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