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566c" w14:textId="57b5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Сарканского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Сарканского района Алматинской области от 21 января 2016 года № 1-2. Зарегистрировано Департаментом юстиции Алматинской области 10 февраля 2016 года № 3700. Утратило силу решением акима Сарканского района области Жетісу от 21 февраля 2024 года № 2-1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Сарканского района области Жетісу от 21.02.2024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 Сарканского района </w:t>
      </w:r>
      <w:r>
        <w:rPr>
          <w:rFonts w:ascii="Times New Roman"/>
          <w:b/>
          <w:i w:val="false"/>
          <w:color w:val="000000"/>
          <w:sz w:val="28"/>
        </w:rPr>
        <w:t>РЕШИЛ</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Сарканского района согласно приложению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акима района Умбеталиева Самата Тлеубаевича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Умбеталиева Самата Тлеубаевича.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акима Сарканского района от "21" января 2016 года № 1-2 "Об утверждении Регламента акимата Сарканского района"</w:t>
            </w:r>
          </w:p>
        </w:tc>
      </w:tr>
    </w:tbl>
    <w:bookmarkStart w:name="z11" w:id="1"/>
    <w:p>
      <w:pPr>
        <w:spacing w:after="0"/>
        <w:ind w:left="0"/>
        <w:jc w:val="left"/>
      </w:pPr>
      <w:r>
        <w:rPr>
          <w:rFonts w:ascii="Times New Roman"/>
          <w:b/>
          <w:i w:val="false"/>
          <w:color w:val="000000"/>
        </w:rPr>
        <w:t xml:space="preserve"> Регламент акимата Сарканского района</w:t>
      </w:r>
    </w:p>
    <w:bookmarkEnd w:id="1"/>
    <w:bookmarkStart w:name="z12" w:id="2"/>
    <w:p>
      <w:pPr>
        <w:spacing w:after="0"/>
        <w:ind w:left="0"/>
        <w:jc w:val="left"/>
      </w:pPr>
      <w:r>
        <w:rPr>
          <w:rFonts w:ascii="Times New Roman"/>
          <w:b/>
          <w:i w:val="false"/>
          <w:color w:val="000000"/>
        </w:rPr>
        <w:t xml:space="preserve"> 1. Общие положения</w:t>
      </w:r>
    </w:p>
    <w:bookmarkEnd w:id="2"/>
    <w:p>
      <w:pPr>
        <w:spacing w:after="0"/>
        <w:ind w:left="0"/>
        <w:jc w:val="both"/>
      </w:pPr>
      <w:bookmarkStart w:name="z13" w:id="3"/>
      <w:r>
        <w:rPr>
          <w:rFonts w:ascii="Times New Roman"/>
          <w:b w:val="false"/>
          <w:i w:val="false"/>
          <w:color w:val="000000"/>
          <w:sz w:val="28"/>
        </w:rPr>
        <w:t>
      1. Акимат Сарканского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Количество членов акимата определяется акимом.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Персональный состав акимата определяется акимом и согласовывается решением сессии Сарканского районного маслихата.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и утверждаемом акимом района (далее - аким).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bookmarkStart w:name="z22" w:id="4"/>
    <w:p>
      <w:pPr>
        <w:spacing w:after="0"/>
        <w:ind w:left="0"/>
        <w:jc w:val="left"/>
      </w:pPr>
      <w:r>
        <w:rPr>
          <w:rFonts w:ascii="Times New Roman"/>
          <w:b/>
          <w:i w:val="false"/>
          <w:color w:val="000000"/>
        </w:rPr>
        <w:t xml:space="preserve"> 2. Планирование работы</w:t>
      </w:r>
    </w:p>
    <w:bookmarkEnd w:id="4"/>
    <w:p>
      <w:pPr>
        <w:spacing w:after="0"/>
        <w:ind w:left="0"/>
        <w:jc w:val="both"/>
      </w:pPr>
      <w:bookmarkStart w:name="z23" w:id="5"/>
      <w:r>
        <w:rPr>
          <w:rFonts w:ascii="Times New Roman"/>
          <w:b w:val="false"/>
          <w:i w:val="false"/>
          <w:color w:val="000000"/>
          <w:sz w:val="28"/>
        </w:rPr>
        <w:t>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 вопросов, планируемых к рассмотрению на заседаниях акимата, утверждается акимом.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Start w:name="z27" w:id="6"/>
    <w:p>
      <w:pPr>
        <w:spacing w:after="0"/>
        <w:ind w:left="0"/>
        <w:jc w:val="left"/>
      </w:pPr>
      <w:r>
        <w:rPr>
          <w:rFonts w:ascii="Times New Roman"/>
          <w:b/>
          <w:i w:val="false"/>
          <w:color w:val="000000"/>
        </w:rPr>
        <w:t xml:space="preserve"> 3. Порядок подготовки и проведения заседаний акимата</w:t>
      </w:r>
    </w:p>
    <w:bookmarkEnd w:id="6"/>
    <w:p>
      <w:pPr>
        <w:spacing w:after="0"/>
        <w:ind w:left="0"/>
        <w:jc w:val="both"/>
      </w:pPr>
      <w:bookmarkStart w:name="z28" w:id="7"/>
      <w:r>
        <w:rPr>
          <w:rFonts w:ascii="Times New Roman"/>
          <w:b w:val="false"/>
          <w:i w:val="false"/>
          <w:color w:val="000000"/>
          <w:sz w:val="28"/>
        </w:rPr>
        <w:t>
      8. Заседания акимата проводятся не реже одного раза в месяц и созываются акимом.</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необходимости, отдельные вопросы могут рассматриваться на закрытых заседаниях.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результатам рассмотрения вопроса на заседании акимата принимается постановление.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Постановления принимаются большинством голосов присутствующих членов акимата.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Подготовка аппаратом и либо исполнительным органом вопросов к рассмотрению на заседании акимата осуществляется с соблюдением следующих требований: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 и справка по каждому вопросу должны иметь идентичные заголовки;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материалам, вносимым на заседание акимата, прикладываются при необходимости дополнительные информационные сведения;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(подлинники), а также документы к ним хранятся в аппарате.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p>
    <w:bookmarkStart w:name="z50" w:id="8"/>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8"/>
    <w:p>
      <w:pPr>
        <w:spacing w:after="0"/>
        <w:ind w:left="0"/>
        <w:jc w:val="both"/>
      </w:pPr>
      <w:bookmarkStart w:name="z51" w:id="9"/>
      <w:r>
        <w:rPr>
          <w:rFonts w:ascii="Times New Roman"/>
          <w:b w:val="false"/>
          <w:i w:val="false"/>
          <w:color w:val="000000"/>
          <w:sz w:val="28"/>
        </w:rPr>
        <w:t>
      16. Предложения в адрес акимата исполнительными органами для принятия им соответствующего решения вносятся в следующих случаях:</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когда решение вопроса входит в компетенцию акимата;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 возникновении разногласий между местными исполнительными органами.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актах", "Об административных процедурах" и настоящим Регламентом.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представляются на государственном и на русском языках, согласованные с заинтересованными органами, подписанные первыми руководителями или лицами, их замещающими.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Проекты в обязательном порядке согласовываются: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проект согласован без замечаний (виза на проекте);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согласовании проекта отказано (прилагается мотивированный отказ).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Разработчик проекта при внесении проекта в аппарат в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-экспертиза) по проекту. Перед регистрацией в аппарате проект проверяется на соответствие требованиям делопроизводства.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экспертизы проекта не должен превышать 3 рабочих дней с даты регистрации проекта в аппарате акима.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неаутентичности текстов проекта на государственном и русском языках;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несоответствия его законодательству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представления с нарушением требований настоящего Регламента.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Подлинники постановлений акимата, решений и распоряжений акима хранятся в аппарате.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Ответственность за своевременный выпуск и рассылку документов адресатам несет аппарат.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Направление актов для публикации осуществляется аппаратом.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Start w:name="z93" w:id="10"/>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и района</w:t>
      </w:r>
    </w:p>
    <w:bookmarkEnd w:id="10"/>
    <w:p>
      <w:pPr>
        <w:spacing w:after="0"/>
        <w:ind w:left="0"/>
        <w:jc w:val="both"/>
      </w:pPr>
      <w:bookmarkStart w:name="z94" w:id="11"/>
      <w:r>
        <w:rPr>
          <w:rFonts w:ascii="Times New Roman"/>
          <w:b w:val="false"/>
          <w:i w:val="false"/>
          <w:color w:val="000000"/>
          <w:sz w:val="28"/>
        </w:rPr>
        <w:t>
      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Алматинской области и Сарканского района и иные поручения государственных органов и должностных лиц в пределах своей компетенции.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Алматинской области и Сарканского района возлагается на первых руководителей исполнительных органов, которым они направлены на исполнение.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 исполнения сроков, определяется месячный срок исполнения, исчисляемый со дня поступления документа, а при наличии грифа "срочно" - десятидневный срок.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Сарканского района осуществляется аппаратом в порядке, определяемом акимом.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Сарканского района, обеспечивает деятельность акима по контролю за их исполнением.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Сарканского района могут вносить предложения по привлечению виновных должностных лиц к дисциплинарной ответственности.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