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e833" w14:textId="739e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Коксуском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05 февраля 2016 года № 52-2. Зарегистрировано Департаментом юстиции Алматинской области 17 февраля 2016 года № 3731. Утратило силу решением Коксуского районного маслихата Алматинской области от 1 сентября 2021 года № 11-2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01.09.2021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Коксуский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Коксуского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 иным законным представителям детей с ограниченными возможностями (далее –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 "Возмещение затрат на обучение на дому детей инвалидов",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(далее –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справка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справку из учебного заведения, подтверждающую факт обучения ребенка-инвалида на дому,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случае первоначального назначения возмещение затрат на обучение выплачивается со дня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занятости и социальных программ Коксуского района" (по согласованию А. Шаяхметова)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Коксуского районного маслихата "По законодательству и правопорядку, социальной защите населения, награждению и полномочиям депутатов".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