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6d95" w14:textId="a6f6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Аксуского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Аксусского районного маслихата Алматинской области от 14 апреля 2016 года № 2-9. Зарегистрировано Департаментом юстиции Алматинской области 17 мая № 3835. Утратило силу решением Аксуского районного маслихата Алматинской области от 30 марта 2017 года № 13-61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Аксуского районного маслихата Алматинской области от 30.03.2017 </w:t>
      </w:r>
      <w:r>
        <w:rPr>
          <w:rFonts w:ascii="Times New Roman"/>
          <w:b w:val="false"/>
          <w:i w:val="false"/>
          <w:color w:val="ff0000"/>
          <w:sz w:val="28"/>
        </w:rPr>
        <w:t>№ 13-61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методику оценки деятельности административных государственных служащих корпуса "Б" аппарата Аксуского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Усенова Нурбола Каметкалиевича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руководителя аппарата районного маслихата Усенова Нурбола Каметкалиевича.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Мусабаланов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Аксуского районного маслихата от 14 апреля 2016 года № 2-9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Аксуского районного маслихата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аппарата Аксуского районного маслихата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Министра по делам государственной службы Республики Казахстан от 29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аппарата Аксуского районного маслихата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-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специалист аппарата, занимающийся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Заседание Комиссии по оценке считается правомочным, если на нем присутствовали не менее двух третей ее состава.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приложению 1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назначении служащего корпуса "Б" на должность по истечении указанного в пункте 10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 И. 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приложению 2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специалистом аппарата, занимающегося кадровыми вопросами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приложению 3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28. После согласования непосредственным руководителем оценочный лист заверяется служащим корпуса "Б".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-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Перечень лиц (не более трех), указанных в подпунктах 2) и 3) пункта 29 настоящей Методики, определяется специалистом аппарата, занимающегося кадровыми вопросами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Лица, указанные в пункте 29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специалисту аппарата, занимающийся кадровыми вопросами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Специалист аппарата, занимающийся кадровыми вопросами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-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-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-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-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Специалист аппарата, занимающийся кадровыми вопросами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специалистом аппарата, занимающегося кадровыми вопросами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42. Документы, указанные в пункте 39 настоящей Методики, а также подписанный протокол заседания Комиссии хранятся у в специалиста аппарата, занимающегося кадровыми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Аксуского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план работы административного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2309"/>
        <w:gridCol w:w="1526"/>
        <w:gridCol w:w="1810"/>
        <w:gridCol w:w="2310"/>
        <w:gridCol w:w="1811"/>
        <w:gridCol w:w="1526"/>
        <w:gridCol w:w="385"/>
      </w:tblGrid>
      <w:tr>
        <w:trPr>
          <w:trHeight w:val="30" w:hRule="atLeast"/>
        </w:trPr>
        <w:tc>
          <w:tcPr>
            <w:tcW w:w="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поощ-ряемых показа-телях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поощря-емых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дисцип-лины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</w:t>
      </w:r>
      <w:r>
        <w:rPr>
          <w:rFonts w:ascii="Times New Roman"/>
          <w:b w:val="false"/>
          <w:i/>
          <w:color w:val="000000"/>
          <w:sz w:val="28"/>
        </w:rPr>
        <w:t xml:space="preserve"> (при его наличии) </w:t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аппарата Аксуского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(Ф.И.О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(при его наличии).,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