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8b2d" w14:textId="dd6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администратиных государственных служащих корпуса "Б" местных исполнительных органов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апреля 2016 года № 66. Зарегистрировано Департаментом юстиции Актюбинской области 11 мая 2016 года № 4912. Утратило силу постановлением акимата Шалкарского района Актюбинской области от 6 марта 2017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Шалкарского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временно исполняющего обязанности руководителя государственного учреждения "Аппарат акима Шалкарского района" Ж. Жанузакова.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15 апреля 2016 года № 66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Шалкарского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(зарегистрированной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местных исполнительных органов Шалкарского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 Комиссия),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распоряжение (приказ)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Интернет-портала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(при его наличии)______             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       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