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51b0" w14:textId="8115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27 апреля 2016 года № 3-22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августа 2016 года № 6-45. Зарегистрировано Департаментом юстиции Акмолинской области 14 сентября 2016 года № 5524. Утратило силу решением Зерендинского районного маслихата Акмолинской области от 06 февраля 2017 года № 10-83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Зерендинского районного маслихата Акмолинской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10-83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</w:t>
      </w:r>
      <w:r>
        <w:rPr>
          <w:rFonts w:ascii="Times New Roman"/>
          <w:b/>
          <w:i w:val="false"/>
          <w:color w:val="000000"/>
          <w:sz w:val="28"/>
        </w:rPr>
        <w:t>Зерендинский</w:t>
      </w:r>
      <w:r>
        <w:rPr>
          <w:rFonts w:ascii="Times New Roman"/>
          <w:b/>
          <w:i w:val="false"/>
          <w:color w:val="000000"/>
          <w:sz w:val="28"/>
        </w:rPr>
        <w:t xml:space="preserve"> районный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27 апреля 2016 года № 3-22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 (зарегистрировано в Реестре государственной регистрации нормативных правовых актов № 5373, опубликовано 3 июня 2016 года в районных газетах "Зерделі–Зеренді", "Зерен"),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Зерендинском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"Государственный центр по выплате пенсий" заменить на слова "Межведомственный расчетный центр социальных выплат".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