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d77" w14:textId="5760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апреля 2016 года № 2-9. Зарегистрировано Департаментом юстиции Акмолинской области 4 мая 2016 года № 5334. Утратило силу решением Зерендинского районного маслихата Акмолинской области от 6 февраля 2017 года № 10-84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10-84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Министра по делам государственной службы Республики Казахстан от 29 декабря 2015 года № 13 (зарегистрировано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специалист аппарата районного маслихата в должностные обязанности которого входит ведение кадровой работы аппарата районного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Ʃ кв =100+а–в,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Ʃ 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в-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баллов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Ʃ год = 0,3* Ʃ кв+0,6* Ʃ ИП+0,1* Ʃ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Ʃ 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Ʃ 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Ʃ 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при расчете результата оценки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